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083" w:rsidRPr="007367D2" w:rsidRDefault="00BC1083" w:rsidP="00BC1083">
      <w:pPr>
        <w:pStyle w:val="NoSpacing"/>
        <w:shd w:val="pct15" w:color="auto" w:fill="auto"/>
        <w:rPr>
          <w:rFonts w:ascii="Arial" w:hAnsi="Arial" w:cs="Arial"/>
          <w:b/>
          <w:noProof/>
          <w:sz w:val="24"/>
          <w:szCs w:val="24"/>
          <w:vertAlign w:val="superscript"/>
        </w:rPr>
      </w:pPr>
      <w:bookmarkStart w:id="0" w:name="_GoBack"/>
      <w:bookmarkEnd w:id="0"/>
      <w:r w:rsidRPr="007367D2">
        <w:rPr>
          <w:rFonts w:ascii="Arial" w:hAnsi="Arial" w:cs="Arial"/>
          <w:b/>
          <w:sz w:val="24"/>
          <w:szCs w:val="24"/>
        </w:rPr>
        <w:t>Supplement</w:t>
      </w:r>
      <w:r>
        <w:rPr>
          <w:rFonts w:ascii="Arial" w:hAnsi="Arial" w:cs="Arial"/>
          <w:b/>
          <w:sz w:val="24"/>
          <w:szCs w:val="24"/>
        </w:rPr>
        <w:t xml:space="preserve"> </w:t>
      </w:r>
      <w:r w:rsidRPr="007367D2">
        <w:rPr>
          <w:rFonts w:ascii="Arial" w:hAnsi="Arial" w:cs="Arial"/>
          <w:b/>
          <w:sz w:val="24"/>
          <w:szCs w:val="24"/>
        </w:rPr>
        <w:t xml:space="preserve">1: Summary of major changes to the 2005 </w:t>
      </w:r>
      <w:r>
        <w:rPr>
          <w:rFonts w:ascii="Arial" w:hAnsi="Arial" w:cs="Arial"/>
          <w:b/>
          <w:sz w:val="24"/>
          <w:szCs w:val="24"/>
        </w:rPr>
        <w:t>Recommendations for Ancillary and Supportive Care</w:t>
      </w:r>
    </w:p>
    <w:p w:rsidR="00BC1083" w:rsidRDefault="00BC1083" w:rsidP="00BC1083">
      <w:pPr>
        <w:pStyle w:val="NoSpacing"/>
        <w:shd w:val="pct15" w:color="auto" w:fill="auto"/>
        <w:rPr>
          <w:rFonts w:ascii="Arial" w:hAnsi="Arial" w:cs="Arial"/>
          <w:sz w:val="20"/>
          <w:szCs w:val="24"/>
        </w:rPr>
      </w:pPr>
    </w:p>
    <w:p w:rsidR="00BC1083" w:rsidRPr="00B510E8" w:rsidRDefault="00BC1083" w:rsidP="00BC1083">
      <w:pPr>
        <w:pStyle w:val="NoSpacing"/>
        <w:shd w:val="pct15" w:color="auto" w:fill="auto"/>
        <w:rPr>
          <w:rFonts w:ascii="Arial" w:hAnsi="Arial" w:cs="Arial"/>
          <w:sz w:val="20"/>
          <w:szCs w:val="24"/>
        </w:rPr>
      </w:pPr>
      <w:r w:rsidRPr="00B510E8">
        <w:rPr>
          <w:rFonts w:ascii="Arial" w:hAnsi="Arial" w:cs="Arial"/>
          <w:b/>
          <w:smallCaps/>
          <w:sz w:val="20"/>
          <w:szCs w:val="24"/>
        </w:rPr>
        <w:t>Complication monitoring updates</w:t>
      </w:r>
      <w:r w:rsidRPr="00B510E8">
        <w:rPr>
          <w:rFonts w:ascii="Arial" w:hAnsi="Arial" w:cs="Arial"/>
          <w:sz w:val="20"/>
          <w:szCs w:val="24"/>
        </w:rPr>
        <w:t xml:space="preserve">: </w:t>
      </w:r>
      <w:r>
        <w:rPr>
          <w:rFonts w:ascii="Arial" w:hAnsi="Arial" w:cs="Arial"/>
          <w:color w:val="000000"/>
          <w:sz w:val="20"/>
        </w:rPr>
        <w:t>Minimum</w:t>
      </w:r>
      <w:r w:rsidRPr="003D44BE">
        <w:rPr>
          <w:rFonts w:ascii="Arial" w:hAnsi="Arial" w:cs="Arial"/>
          <w:color w:val="000000"/>
          <w:sz w:val="20"/>
        </w:rPr>
        <w:t xml:space="preserve"> </w:t>
      </w:r>
      <w:r>
        <w:rPr>
          <w:rFonts w:ascii="Arial" w:hAnsi="Arial" w:cs="Arial"/>
          <w:color w:val="000000"/>
          <w:sz w:val="20"/>
        </w:rPr>
        <w:t>monitoring frequencies during</w:t>
      </w:r>
      <w:r w:rsidRPr="003D44BE">
        <w:rPr>
          <w:rFonts w:ascii="Arial" w:hAnsi="Arial" w:cs="Arial"/>
          <w:color w:val="000000"/>
          <w:sz w:val="20"/>
        </w:rPr>
        <w:t xml:space="preserve"> systemic </w:t>
      </w:r>
      <w:r>
        <w:rPr>
          <w:rFonts w:ascii="Arial" w:hAnsi="Arial" w:cs="Arial"/>
          <w:color w:val="000000"/>
          <w:sz w:val="20"/>
        </w:rPr>
        <w:t>immunosuppressive therapy</w:t>
      </w:r>
      <w:r w:rsidRPr="003D44BE">
        <w:rPr>
          <w:rFonts w:ascii="Arial" w:hAnsi="Arial" w:cs="Arial"/>
          <w:color w:val="000000"/>
          <w:sz w:val="20"/>
        </w:rPr>
        <w:t xml:space="preserve"> </w:t>
      </w:r>
      <w:r w:rsidR="00783DCD">
        <w:rPr>
          <w:rFonts w:ascii="Arial" w:hAnsi="Arial" w:cs="Arial"/>
          <w:color w:val="000000"/>
          <w:sz w:val="20"/>
        </w:rPr>
        <w:t>are suggested and thereafter,</w:t>
      </w:r>
      <w:r>
        <w:rPr>
          <w:rFonts w:ascii="Arial" w:hAnsi="Arial" w:cs="Arial"/>
          <w:color w:val="000000"/>
          <w:sz w:val="20"/>
        </w:rPr>
        <w:t xml:space="preserve"> referral to</w:t>
      </w:r>
      <w:r w:rsidR="00783DCD">
        <w:rPr>
          <w:rFonts w:ascii="Arial" w:hAnsi="Arial" w:cs="Arial"/>
          <w:color w:val="000000"/>
          <w:sz w:val="20"/>
        </w:rPr>
        <w:t xml:space="preserve"> existing</w:t>
      </w:r>
      <w:r>
        <w:rPr>
          <w:rFonts w:ascii="Arial" w:hAnsi="Arial" w:cs="Arial"/>
          <w:color w:val="000000"/>
          <w:sz w:val="20"/>
        </w:rPr>
        <w:t xml:space="preserve"> late effects consensus guidelines </w:t>
      </w:r>
      <w:r w:rsidR="00783DCD">
        <w:rPr>
          <w:rFonts w:ascii="Arial" w:hAnsi="Arial" w:cs="Arial"/>
          <w:color w:val="000000"/>
          <w:sz w:val="20"/>
        </w:rPr>
        <w:t>is advised</w:t>
      </w:r>
      <w:r>
        <w:rPr>
          <w:rFonts w:ascii="Arial" w:hAnsi="Arial" w:cs="Arial"/>
          <w:color w:val="000000"/>
          <w:sz w:val="20"/>
        </w:rPr>
        <w:t xml:space="preserve"> (</w:t>
      </w:r>
      <w:r w:rsidRPr="00B510E8">
        <w:rPr>
          <w:rFonts w:ascii="Arial" w:hAnsi="Arial" w:cs="Arial"/>
          <w:sz w:val="20"/>
          <w:szCs w:val="24"/>
        </w:rPr>
        <w:t xml:space="preserve">Table </w:t>
      </w:r>
      <w:r>
        <w:rPr>
          <w:rFonts w:ascii="Arial" w:hAnsi="Arial" w:cs="Arial"/>
          <w:sz w:val="20"/>
          <w:szCs w:val="24"/>
        </w:rPr>
        <w:t>2)</w:t>
      </w:r>
      <w:r w:rsidRPr="00B510E8">
        <w:rPr>
          <w:rFonts w:ascii="Arial" w:hAnsi="Arial" w:cs="Arial"/>
          <w:sz w:val="20"/>
          <w:szCs w:val="24"/>
        </w:rPr>
        <w:t>.</w:t>
      </w:r>
    </w:p>
    <w:p w:rsidR="00BC1083" w:rsidRPr="00B53C74" w:rsidRDefault="00BC1083" w:rsidP="00BC1083">
      <w:pPr>
        <w:pStyle w:val="NoSpacing"/>
        <w:shd w:val="pct15" w:color="auto" w:fill="auto"/>
        <w:rPr>
          <w:rFonts w:ascii="Arial" w:hAnsi="Arial" w:cs="Arial"/>
          <w:sz w:val="20"/>
          <w:szCs w:val="24"/>
        </w:rPr>
      </w:pPr>
    </w:p>
    <w:p w:rsidR="00BC1083" w:rsidRDefault="00BC1083" w:rsidP="00BC1083">
      <w:pPr>
        <w:pStyle w:val="NoSpacing"/>
        <w:shd w:val="pct15" w:color="auto" w:fill="auto"/>
        <w:rPr>
          <w:rFonts w:ascii="Arial" w:hAnsi="Arial" w:cs="Arial"/>
          <w:sz w:val="20"/>
          <w:szCs w:val="24"/>
        </w:rPr>
      </w:pPr>
      <w:r w:rsidRPr="00B510E8">
        <w:rPr>
          <w:rFonts w:ascii="Arial" w:hAnsi="Arial" w:cs="Arial"/>
          <w:b/>
          <w:smallCaps/>
          <w:sz w:val="20"/>
          <w:szCs w:val="24"/>
        </w:rPr>
        <w:t>Organ System updates</w:t>
      </w:r>
      <w:r w:rsidRPr="00B53C74">
        <w:rPr>
          <w:rFonts w:ascii="Arial" w:hAnsi="Arial" w:cs="Arial"/>
          <w:sz w:val="20"/>
          <w:szCs w:val="24"/>
        </w:rPr>
        <w:t>:</w:t>
      </w:r>
    </w:p>
    <w:p w:rsidR="00BC1083" w:rsidRDefault="00BC1083" w:rsidP="00BC1083">
      <w:pPr>
        <w:pStyle w:val="NoSpacing"/>
        <w:shd w:val="pct15" w:color="auto" w:fill="auto"/>
        <w:rPr>
          <w:rFonts w:ascii="Arial" w:hAnsi="Arial" w:cs="Arial"/>
          <w:sz w:val="20"/>
          <w:szCs w:val="24"/>
        </w:rPr>
      </w:pPr>
    </w:p>
    <w:p w:rsidR="00BC1083" w:rsidRPr="00B510E8" w:rsidRDefault="00BC1083" w:rsidP="00BC1083">
      <w:pPr>
        <w:pStyle w:val="NoSpacing"/>
        <w:shd w:val="pct15" w:color="auto" w:fill="auto"/>
        <w:rPr>
          <w:rFonts w:ascii="Arial" w:hAnsi="Arial" w:cs="Arial"/>
          <w:b/>
          <w:i/>
          <w:sz w:val="20"/>
          <w:szCs w:val="24"/>
        </w:rPr>
      </w:pPr>
      <w:r w:rsidRPr="00B510E8">
        <w:rPr>
          <w:rFonts w:ascii="Arial" w:hAnsi="Arial" w:cs="Arial"/>
          <w:b/>
          <w:i/>
          <w:sz w:val="20"/>
          <w:szCs w:val="24"/>
        </w:rPr>
        <w:t>Skin:</w:t>
      </w:r>
    </w:p>
    <w:p w:rsidR="00BC1083" w:rsidRPr="00B53C74" w:rsidRDefault="00BC1083" w:rsidP="00BC1083">
      <w:pPr>
        <w:pStyle w:val="NoSpacing"/>
        <w:numPr>
          <w:ilvl w:val="1"/>
          <w:numId w:val="13"/>
        </w:numPr>
        <w:shd w:val="pct15" w:color="auto" w:fill="auto"/>
        <w:ind w:left="360"/>
        <w:rPr>
          <w:rFonts w:ascii="Arial" w:hAnsi="Arial" w:cs="Arial"/>
          <w:sz w:val="20"/>
          <w:szCs w:val="24"/>
        </w:rPr>
      </w:pPr>
      <w:r>
        <w:rPr>
          <w:rFonts w:ascii="Arial" w:hAnsi="Arial" w:cs="Arial"/>
          <w:sz w:val="20"/>
          <w:szCs w:val="24"/>
        </w:rPr>
        <w:t>Quarterly</w:t>
      </w:r>
      <w:r w:rsidRPr="00B53C74">
        <w:rPr>
          <w:rFonts w:ascii="Arial" w:hAnsi="Arial" w:cs="Arial"/>
          <w:sz w:val="20"/>
          <w:szCs w:val="24"/>
        </w:rPr>
        <w:t xml:space="preserve"> monitoring for </w:t>
      </w:r>
      <w:r w:rsidR="00C912D4">
        <w:rPr>
          <w:rFonts w:ascii="Arial" w:hAnsi="Arial" w:cs="Arial"/>
          <w:sz w:val="20"/>
          <w:szCs w:val="24"/>
        </w:rPr>
        <w:t xml:space="preserve">new </w:t>
      </w:r>
      <w:r w:rsidRPr="00B53C74">
        <w:rPr>
          <w:rFonts w:ascii="Arial" w:hAnsi="Arial" w:cs="Arial"/>
          <w:sz w:val="20"/>
          <w:szCs w:val="24"/>
        </w:rPr>
        <w:t xml:space="preserve">malignancy </w:t>
      </w:r>
      <w:r>
        <w:rPr>
          <w:rFonts w:ascii="Arial" w:hAnsi="Arial" w:cs="Arial"/>
          <w:sz w:val="20"/>
          <w:szCs w:val="24"/>
        </w:rPr>
        <w:t>during</w:t>
      </w:r>
      <w:r w:rsidRPr="00B53C74">
        <w:rPr>
          <w:rFonts w:ascii="Arial" w:hAnsi="Arial" w:cs="Arial"/>
          <w:sz w:val="20"/>
          <w:szCs w:val="24"/>
        </w:rPr>
        <w:t xml:space="preserve"> immunosuppressive therapy with referral to Dermatology </w:t>
      </w:r>
      <w:r>
        <w:rPr>
          <w:rFonts w:ascii="Arial" w:hAnsi="Arial" w:cs="Arial"/>
          <w:sz w:val="20"/>
          <w:szCs w:val="24"/>
        </w:rPr>
        <w:t>for evaluation</w:t>
      </w:r>
      <w:r w:rsidRPr="00B53C74">
        <w:rPr>
          <w:rFonts w:ascii="Arial" w:hAnsi="Arial" w:cs="Arial"/>
          <w:sz w:val="20"/>
          <w:szCs w:val="24"/>
        </w:rPr>
        <w:t xml:space="preserve"> of </w:t>
      </w:r>
      <w:r>
        <w:rPr>
          <w:rFonts w:ascii="Arial" w:hAnsi="Arial" w:cs="Arial"/>
          <w:sz w:val="20"/>
          <w:szCs w:val="24"/>
        </w:rPr>
        <w:t xml:space="preserve">suspicious </w:t>
      </w:r>
      <w:r w:rsidRPr="00B53C74">
        <w:rPr>
          <w:rFonts w:ascii="Arial" w:hAnsi="Arial" w:cs="Arial"/>
          <w:sz w:val="20"/>
          <w:szCs w:val="24"/>
        </w:rPr>
        <w:t>abnormalities (Table 2)</w:t>
      </w:r>
    </w:p>
    <w:p w:rsidR="00BC1083" w:rsidRDefault="00BC1083" w:rsidP="00BC1083">
      <w:pPr>
        <w:pStyle w:val="NoSpacing"/>
        <w:numPr>
          <w:ilvl w:val="1"/>
          <w:numId w:val="13"/>
        </w:numPr>
        <w:shd w:val="pct15" w:color="auto" w:fill="auto"/>
        <w:ind w:left="360"/>
        <w:rPr>
          <w:rFonts w:ascii="Arial" w:hAnsi="Arial" w:cs="Arial"/>
          <w:sz w:val="20"/>
          <w:szCs w:val="24"/>
        </w:rPr>
      </w:pPr>
      <w:r w:rsidRPr="00B53C74">
        <w:rPr>
          <w:rFonts w:ascii="Arial" w:hAnsi="Arial" w:cs="Arial"/>
          <w:sz w:val="20"/>
          <w:szCs w:val="24"/>
        </w:rPr>
        <w:t>Addition of “Avoidance of photosensitizing agents” to highlight the potenti</w:t>
      </w:r>
      <w:r>
        <w:rPr>
          <w:rFonts w:ascii="Arial" w:hAnsi="Arial" w:cs="Arial"/>
          <w:sz w:val="20"/>
          <w:szCs w:val="24"/>
        </w:rPr>
        <w:t>al risks of voriconazole toxicity (also in Table 3)</w:t>
      </w:r>
      <w:r w:rsidRPr="00B53C74">
        <w:rPr>
          <w:rFonts w:ascii="Arial" w:hAnsi="Arial" w:cs="Arial"/>
          <w:sz w:val="20"/>
          <w:szCs w:val="24"/>
        </w:rPr>
        <w:t>.</w:t>
      </w:r>
    </w:p>
    <w:p w:rsidR="00BC1083" w:rsidRDefault="00BC1083" w:rsidP="00BC1083">
      <w:pPr>
        <w:pStyle w:val="NoSpacing"/>
        <w:numPr>
          <w:ilvl w:val="1"/>
          <w:numId w:val="13"/>
        </w:numPr>
        <w:shd w:val="pct15" w:color="auto" w:fill="auto"/>
        <w:ind w:left="360"/>
        <w:rPr>
          <w:rFonts w:ascii="Arial" w:hAnsi="Arial" w:cs="Arial"/>
          <w:sz w:val="20"/>
          <w:szCs w:val="24"/>
        </w:rPr>
      </w:pPr>
      <w:r>
        <w:rPr>
          <w:rFonts w:ascii="Arial" w:hAnsi="Arial" w:cs="Arial"/>
          <w:sz w:val="20"/>
          <w:szCs w:val="24"/>
        </w:rPr>
        <w:t>H</w:t>
      </w:r>
      <w:r w:rsidRPr="002236B1">
        <w:rPr>
          <w:rFonts w:ascii="Arial" w:hAnsi="Arial" w:cs="Arial"/>
          <w:sz w:val="20"/>
          <w:szCs w:val="24"/>
        </w:rPr>
        <w:t>yperlink to systemic therapy for patients with steroid-refractory skin GVHD.</w:t>
      </w:r>
    </w:p>
    <w:p w:rsidR="00BC1083" w:rsidRDefault="00BC1083" w:rsidP="00BC1083">
      <w:pPr>
        <w:pStyle w:val="NoSpacing"/>
        <w:numPr>
          <w:ilvl w:val="1"/>
          <w:numId w:val="13"/>
        </w:numPr>
        <w:shd w:val="pct15" w:color="auto" w:fill="auto"/>
        <w:ind w:left="360"/>
        <w:rPr>
          <w:rFonts w:ascii="Arial" w:hAnsi="Arial" w:cs="Arial"/>
          <w:sz w:val="20"/>
          <w:szCs w:val="24"/>
        </w:rPr>
      </w:pPr>
      <w:r>
        <w:rPr>
          <w:rFonts w:ascii="Arial" w:hAnsi="Arial" w:cs="Arial"/>
          <w:sz w:val="20"/>
          <w:szCs w:val="24"/>
        </w:rPr>
        <w:t>Endorsed urea or glycerol containing topical preparations as good skin hydrators although these should be avoided in young children</w:t>
      </w:r>
      <w:r w:rsidR="001B323C">
        <w:rPr>
          <w:rFonts w:ascii="Arial" w:hAnsi="Arial" w:cs="Arial"/>
          <w:sz w:val="20"/>
          <w:szCs w:val="24"/>
        </w:rPr>
        <w:t xml:space="preserve"> due to </w:t>
      </w:r>
      <w:r w:rsidR="001B323C" w:rsidRPr="001B323C">
        <w:rPr>
          <w:rFonts w:ascii="Arial" w:hAnsi="Arial" w:cs="Arial"/>
          <w:sz w:val="20"/>
          <w:szCs w:val="24"/>
        </w:rPr>
        <w:t>increased potential for skin disruption and irritation</w:t>
      </w:r>
      <w:r>
        <w:rPr>
          <w:rFonts w:ascii="Arial" w:hAnsi="Arial" w:cs="Arial"/>
          <w:sz w:val="20"/>
          <w:szCs w:val="24"/>
        </w:rPr>
        <w:t>.</w:t>
      </w:r>
    </w:p>
    <w:p w:rsidR="00BC1083" w:rsidRDefault="00BC1083" w:rsidP="00BC1083">
      <w:pPr>
        <w:pStyle w:val="NoSpacing"/>
        <w:numPr>
          <w:ilvl w:val="1"/>
          <w:numId w:val="13"/>
        </w:numPr>
        <w:shd w:val="pct15" w:color="auto" w:fill="auto"/>
        <w:ind w:left="360"/>
        <w:rPr>
          <w:rFonts w:ascii="Arial" w:hAnsi="Arial" w:cs="Arial"/>
          <w:sz w:val="20"/>
          <w:szCs w:val="24"/>
        </w:rPr>
      </w:pPr>
      <w:r>
        <w:rPr>
          <w:rFonts w:ascii="Arial" w:hAnsi="Arial" w:cs="Arial"/>
          <w:sz w:val="20"/>
          <w:szCs w:val="24"/>
        </w:rPr>
        <w:t>Clarified that standard doses of antihistamines rarely alleviate severe pruritus and that refractory symptoms might benefit from gabapentin. Doxepin was deleted from the recommendations.</w:t>
      </w:r>
    </w:p>
    <w:p w:rsidR="00BC1083" w:rsidRPr="00B510E8" w:rsidRDefault="00BC1083" w:rsidP="00BC1083">
      <w:pPr>
        <w:pStyle w:val="NoSpacing"/>
        <w:shd w:val="pct15" w:color="auto" w:fill="auto"/>
        <w:rPr>
          <w:rFonts w:ascii="Arial" w:hAnsi="Arial" w:cs="Arial"/>
          <w:b/>
          <w:i/>
          <w:sz w:val="20"/>
          <w:szCs w:val="24"/>
        </w:rPr>
      </w:pPr>
    </w:p>
    <w:p w:rsidR="00BC1083" w:rsidRPr="00B510E8" w:rsidRDefault="00BC1083" w:rsidP="00BC1083">
      <w:pPr>
        <w:pStyle w:val="NoSpacing"/>
        <w:shd w:val="pct15" w:color="auto" w:fill="auto"/>
        <w:rPr>
          <w:rFonts w:ascii="Arial" w:hAnsi="Arial" w:cs="Arial"/>
          <w:b/>
          <w:i/>
          <w:sz w:val="20"/>
          <w:szCs w:val="24"/>
        </w:rPr>
      </w:pPr>
      <w:r w:rsidRPr="00B510E8">
        <w:rPr>
          <w:rFonts w:ascii="Arial" w:hAnsi="Arial" w:cs="Arial"/>
          <w:b/>
          <w:i/>
          <w:sz w:val="20"/>
          <w:szCs w:val="24"/>
        </w:rPr>
        <w:t>Mouth and Oral cavity:</w:t>
      </w:r>
    </w:p>
    <w:p w:rsidR="00BC1083" w:rsidRDefault="00BC1083" w:rsidP="00BC1083">
      <w:pPr>
        <w:pStyle w:val="NoSpacing"/>
        <w:numPr>
          <w:ilvl w:val="0"/>
          <w:numId w:val="14"/>
        </w:numPr>
        <w:shd w:val="pct15" w:color="auto" w:fill="auto"/>
        <w:ind w:left="360"/>
        <w:rPr>
          <w:rFonts w:ascii="Arial" w:hAnsi="Arial" w:cs="Arial"/>
          <w:sz w:val="20"/>
          <w:szCs w:val="24"/>
        </w:rPr>
      </w:pPr>
      <w:r>
        <w:rPr>
          <w:rFonts w:ascii="Arial" w:hAnsi="Arial" w:cs="Arial"/>
          <w:sz w:val="20"/>
          <w:szCs w:val="24"/>
        </w:rPr>
        <w:t>Extensive reorganization of text and Table 4 for greater clarity.</w:t>
      </w:r>
    </w:p>
    <w:p w:rsidR="00BC1083" w:rsidRDefault="00BC1083" w:rsidP="00BC1083">
      <w:pPr>
        <w:pStyle w:val="NoSpacing"/>
        <w:numPr>
          <w:ilvl w:val="0"/>
          <w:numId w:val="14"/>
        </w:numPr>
        <w:shd w:val="pct15" w:color="auto" w:fill="auto"/>
        <w:ind w:left="360"/>
        <w:rPr>
          <w:rFonts w:ascii="Arial" w:hAnsi="Arial" w:cs="Arial"/>
          <w:sz w:val="20"/>
          <w:szCs w:val="24"/>
        </w:rPr>
      </w:pPr>
      <w:r>
        <w:rPr>
          <w:rFonts w:ascii="Arial" w:hAnsi="Arial" w:cs="Arial"/>
          <w:sz w:val="20"/>
          <w:szCs w:val="24"/>
        </w:rPr>
        <w:t>Aphthous-like ulcers due to sirolimus and fibrovascular ulcers due to calcineurin inhibitors are added as an important toxicity consideration.</w:t>
      </w:r>
    </w:p>
    <w:p w:rsidR="00BC1083" w:rsidRDefault="00BC1083" w:rsidP="00BC1083">
      <w:pPr>
        <w:pStyle w:val="NoSpacing"/>
        <w:numPr>
          <w:ilvl w:val="0"/>
          <w:numId w:val="14"/>
        </w:numPr>
        <w:shd w:val="pct15" w:color="auto" w:fill="auto"/>
        <w:ind w:left="360"/>
        <w:rPr>
          <w:rFonts w:ascii="Arial" w:hAnsi="Arial" w:cs="Arial"/>
          <w:sz w:val="20"/>
          <w:szCs w:val="24"/>
        </w:rPr>
      </w:pPr>
      <w:r>
        <w:rPr>
          <w:rFonts w:ascii="Arial" w:hAnsi="Arial" w:cs="Arial"/>
          <w:sz w:val="20"/>
          <w:szCs w:val="24"/>
        </w:rPr>
        <w:t>Clarified the use of topical steroid gels versus solutions for oral mucosa.</w:t>
      </w:r>
    </w:p>
    <w:p w:rsidR="00BC1083" w:rsidRDefault="00BC1083" w:rsidP="00BC1083">
      <w:pPr>
        <w:pStyle w:val="NoSpacing"/>
        <w:numPr>
          <w:ilvl w:val="0"/>
          <w:numId w:val="14"/>
        </w:numPr>
        <w:shd w:val="pct15" w:color="auto" w:fill="auto"/>
        <w:ind w:left="360"/>
        <w:rPr>
          <w:rFonts w:ascii="Arial" w:hAnsi="Arial" w:cs="Arial"/>
          <w:sz w:val="20"/>
          <w:szCs w:val="24"/>
        </w:rPr>
      </w:pPr>
      <w:r>
        <w:rPr>
          <w:rFonts w:ascii="Arial" w:hAnsi="Arial" w:cs="Arial"/>
          <w:sz w:val="20"/>
          <w:szCs w:val="24"/>
        </w:rPr>
        <w:t xml:space="preserve">Removed the statement that </w:t>
      </w:r>
      <w:r w:rsidRPr="00631600">
        <w:rPr>
          <w:rFonts w:ascii="Arial" w:eastAsiaTheme="minorHAnsi" w:hAnsi="Arial" w:cs="JansonText-Roman"/>
          <w:sz w:val="20"/>
          <w:szCs w:val="20"/>
        </w:rPr>
        <w:t>Vaseline-based ointments such as topical tacrolimus are generally less effective in the mouth than alcohol-based corticosteroids.</w:t>
      </w:r>
    </w:p>
    <w:p w:rsidR="00BC1083" w:rsidRDefault="00BC1083" w:rsidP="00BC1083">
      <w:pPr>
        <w:pStyle w:val="NoSpacing"/>
        <w:numPr>
          <w:ilvl w:val="0"/>
          <w:numId w:val="14"/>
        </w:numPr>
        <w:shd w:val="pct15" w:color="auto" w:fill="auto"/>
        <w:ind w:left="360"/>
        <w:rPr>
          <w:rFonts w:ascii="Arial" w:hAnsi="Arial" w:cs="Arial"/>
          <w:sz w:val="20"/>
          <w:szCs w:val="24"/>
        </w:rPr>
      </w:pPr>
      <w:r>
        <w:rPr>
          <w:rFonts w:ascii="Arial" w:hAnsi="Arial" w:cs="Arial"/>
          <w:sz w:val="20"/>
          <w:szCs w:val="24"/>
        </w:rPr>
        <w:t>Suggest topical tacrolimus ointment to treat GVHD of the lips rather than high-potency steroids that may cause irreversible atrophy.</w:t>
      </w:r>
    </w:p>
    <w:p w:rsidR="00BC1083" w:rsidRDefault="00BC1083" w:rsidP="00BC1083">
      <w:pPr>
        <w:pStyle w:val="NoSpacing"/>
        <w:numPr>
          <w:ilvl w:val="0"/>
          <w:numId w:val="14"/>
        </w:numPr>
        <w:shd w:val="pct15" w:color="auto" w:fill="auto"/>
        <w:ind w:left="360"/>
        <w:rPr>
          <w:rFonts w:ascii="Arial" w:hAnsi="Arial" w:cs="Arial"/>
          <w:sz w:val="20"/>
          <w:szCs w:val="24"/>
        </w:rPr>
      </w:pPr>
      <w:r>
        <w:rPr>
          <w:rFonts w:ascii="Arial" w:hAnsi="Arial" w:cs="Arial"/>
          <w:sz w:val="20"/>
          <w:szCs w:val="24"/>
        </w:rPr>
        <w:t>Emphasis added to counsel patients adequately on how to self-administer oral rinse formulations (</w:t>
      </w:r>
      <w:r w:rsidR="00C912D4">
        <w:rPr>
          <w:rFonts w:ascii="Arial" w:hAnsi="Arial" w:cs="Arial"/>
          <w:sz w:val="20"/>
          <w:szCs w:val="24"/>
        </w:rPr>
        <w:t>follow the published instructions for each preparation (Supplement 3)</w:t>
      </w:r>
      <w:r>
        <w:rPr>
          <w:rFonts w:ascii="Arial" w:hAnsi="Arial" w:cs="Arial"/>
          <w:sz w:val="20"/>
          <w:szCs w:val="24"/>
        </w:rPr>
        <w:t xml:space="preserve">, then spit out, then avoid oral intake for </w:t>
      </w:r>
      <w:r w:rsidR="00ED53A4">
        <w:rPr>
          <w:rFonts w:ascii="Arial" w:hAnsi="Arial" w:cs="Arial"/>
          <w:sz w:val="20"/>
          <w:szCs w:val="24"/>
        </w:rPr>
        <w:t xml:space="preserve">30 </w:t>
      </w:r>
      <w:r>
        <w:rPr>
          <w:rFonts w:ascii="Arial" w:hAnsi="Arial" w:cs="Arial"/>
          <w:sz w:val="20"/>
          <w:szCs w:val="24"/>
        </w:rPr>
        <w:t>minutes).</w:t>
      </w:r>
    </w:p>
    <w:p w:rsidR="00BC1083" w:rsidRDefault="00BC1083" w:rsidP="00BC1083">
      <w:pPr>
        <w:pStyle w:val="NoSpacing"/>
        <w:numPr>
          <w:ilvl w:val="0"/>
          <w:numId w:val="14"/>
        </w:numPr>
        <w:shd w:val="pct15" w:color="auto" w:fill="auto"/>
        <w:ind w:left="360"/>
        <w:rPr>
          <w:rFonts w:ascii="Arial" w:hAnsi="Arial" w:cs="Arial"/>
          <w:sz w:val="20"/>
          <w:szCs w:val="24"/>
        </w:rPr>
      </w:pPr>
      <w:r w:rsidRPr="000D5F81">
        <w:rPr>
          <w:rFonts w:ascii="Arial" w:hAnsi="Arial" w:cs="Arial"/>
          <w:sz w:val="20"/>
          <w:szCs w:val="24"/>
        </w:rPr>
        <w:t xml:space="preserve">Azathioprine rinses have </w:t>
      </w:r>
      <w:r>
        <w:rPr>
          <w:rFonts w:ascii="Arial" w:hAnsi="Arial" w:cs="Arial"/>
          <w:sz w:val="20"/>
          <w:szCs w:val="24"/>
        </w:rPr>
        <w:t xml:space="preserve">been </w:t>
      </w:r>
      <w:r w:rsidRPr="000D5F81">
        <w:rPr>
          <w:rFonts w:ascii="Arial" w:hAnsi="Arial" w:cs="Arial"/>
          <w:sz w:val="20"/>
          <w:szCs w:val="24"/>
        </w:rPr>
        <w:t>removed</w:t>
      </w:r>
      <w:r>
        <w:rPr>
          <w:rFonts w:ascii="Arial" w:hAnsi="Arial" w:cs="Arial"/>
          <w:sz w:val="20"/>
          <w:szCs w:val="24"/>
        </w:rPr>
        <w:t>, since they are rarely recommended and supportive data are lacking. Systemic azathioprine removed because it is not ancillary therapy.</w:t>
      </w:r>
    </w:p>
    <w:p w:rsidR="00BC1083" w:rsidRDefault="00BC1083" w:rsidP="00BC1083">
      <w:pPr>
        <w:pStyle w:val="NoSpacing"/>
        <w:numPr>
          <w:ilvl w:val="0"/>
          <w:numId w:val="14"/>
        </w:numPr>
        <w:shd w:val="pct15" w:color="auto" w:fill="auto"/>
        <w:ind w:left="360"/>
        <w:rPr>
          <w:rFonts w:ascii="Arial" w:hAnsi="Arial" w:cs="Arial"/>
          <w:sz w:val="20"/>
          <w:szCs w:val="24"/>
        </w:rPr>
      </w:pPr>
      <w:r>
        <w:rPr>
          <w:rFonts w:ascii="Arial" w:hAnsi="Arial" w:cs="Arial"/>
          <w:sz w:val="20"/>
          <w:szCs w:val="24"/>
        </w:rPr>
        <w:t>Noted that a small amount of viscous lidocaine may make oral rinses more tolerable for patients who experience burning discomfort.</w:t>
      </w:r>
    </w:p>
    <w:p w:rsidR="00BC1083" w:rsidRDefault="00BC1083" w:rsidP="00BC1083">
      <w:pPr>
        <w:pStyle w:val="NoSpacing"/>
        <w:numPr>
          <w:ilvl w:val="0"/>
          <w:numId w:val="14"/>
        </w:numPr>
        <w:shd w:val="pct15" w:color="auto" w:fill="auto"/>
        <w:ind w:left="360"/>
        <w:rPr>
          <w:rFonts w:ascii="Arial" w:hAnsi="Arial" w:cs="Arial"/>
          <w:sz w:val="20"/>
          <w:szCs w:val="24"/>
        </w:rPr>
      </w:pPr>
      <w:r>
        <w:rPr>
          <w:rFonts w:ascii="Arial" w:hAnsi="Arial" w:cs="Arial"/>
          <w:sz w:val="20"/>
          <w:szCs w:val="24"/>
        </w:rPr>
        <w:t>Suggested the use of intralesional steroids and physical therapy for the treatment of focal intraoral mucosal sclerosis.</w:t>
      </w:r>
    </w:p>
    <w:p w:rsidR="00BC1083" w:rsidRDefault="00BC1083" w:rsidP="00BC1083">
      <w:pPr>
        <w:pStyle w:val="NoSpacing"/>
        <w:numPr>
          <w:ilvl w:val="0"/>
          <w:numId w:val="14"/>
        </w:numPr>
        <w:shd w:val="pct15" w:color="auto" w:fill="auto"/>
        <w:ind w:left="360"/>
        <w:rPr>
          <w:rFonts w:ascii="Arial" w:hAnsi="Arial" w:cs="Arial"/>
          <w:sz w:val="20"/>
          <w:szCs w:val="24"/>
        </w:rPr>
      </w:pPr>
      <w:r>
        <w:rPr>
          <w:rFonts w:ascii="Arial" w:hAnsi="Arial" w:cs="Arial"/>
          <w:sz w:val="20"/>
          <w:szCs w:val="24"/>
        </w:rPr>
        <w:t>Patients should receive routine professional dental care including professional scaling and oral hygiene instructions</w:t>
      </w:r>
    </w:p>
    <w:p w:rsidR="00BC1083" w:rsidRDefault="00BC1083" w:rsidP="00BC1083">
      <w:pPr>
        <w:pStyle w:val="NoSpacing"/>
        <w:numPr>
          <w:ilvl w:val="0"/>
          <w:numId w:val="14"/>
        </w:numPr>
        <w:shd w:val="pct15" w:color="auto" w:fill="auto"/>
        <w:ind w:left="360"/>
        <w:rPr>
          <w:rFonts w:ascii="Arial" w:hAnsi="Arial" w:cs="Arial"/>
          <w:sz w:val="20"/>
          <w:szCs w:val="24"/>
        </w:rPr>
      </w:pPr>
      <w:r>
        <w:rPr>
          <w:rFonts w:ascii="Arial" w:hAnsi="Arial" w:cs="Arial"/>
          <w:sz w:val="20"/>
          <w:szCs w:val="24"/>
        </w:rPr>
        <w:t>Pediatric considerations are clarified and expanded (Table 4).</w:t>
      </w:r>
    </w:p>
    <w:p w:rsidR="00BC1083" w:rsidRPr="00B53C74" w:rsidRDefault="00BC1083" w:rsidP="00BC1083">
      <w:pPr>
        <w:pStyle w:val="NoSpacing"/>
        <w:shd w:val="pct15" w:color="auto" w:fill="auto"/>
        <w:rPr>
          <w:rFonts w:ascii="Arial" w:hAnsi="Arial" w:cs="Arial"/>
          <w:sz w:val="20"/>
          <w:szCs w:val="24"/>
        </w:rPr>
      </w:pPr>
    </w:p>
    <w:p w:rsidR="00BC1083" w:rsidRPr="00B510E8" w:rsidRDefault="00BC1083" w:rsidP="00BC1083">
      <w:pPr>
        <w:pStyle w:val="NoSpacing"/>
        <w:shd w:val="pct15" w:color="auto" w:fill="auto"/>
        <w:rPr>
          <w:rFonts w:ascii="Arial" w:hAnsi="Arial" w:cs="Arial"/>
          <w:b/>
          <w:i/>
          <w:sz w:val="20"/>
          <w:szCs w:val="24"/>
        </w:rPr>
      </w:pPr>
      <w:r w:rsidRPr="00B510E8">
        <w:rPr>
          <w:rFonts w:ascii="Arial" w:hAnsi="Arial" w:cs="Arial"/>
          <w:b/>
          <w:i/>
          <w:sz w:val="20"/>
          <w:szCs w:val="24"/>
        </w:rPr>
        <w:t>Eyes:</w:t>
      </w:r>
    </w:p>
    <w:p w:rsidR="00BC1083" w:rsidRDefault="00BC1083" w:rsidP="00BC1083">
      <w:pPr>
        <w:pStyle w:val="NoSpacing"/>
        <w:numPr>
          <w:ilvl w:val="1"/>
          <w:numId w:val="15"/>
        </w:numPr>
        <w:shd w:val="pct15" w:color="auto" w:fill="auto"/>
        <w:ind w:left="360"/>
        <w:rPr>
          <w:rFonts w:ascii="Arial" w:hAnsi="Arial" w:cs="Arial"/>
          <w:sz w:val="20"/>
          <w:szCs w:val="24"/>
        </w:rPr>
      </w:pPr>
      <w:r>
        <w:rPr>
          <w:rFonts w:ascii="Arial" w:hAnsi="Arial" w:cs="Arial"/>
          <w:sz w:val="20"/>
          <w:szCs w:val="24"/>
        </w:rPr>
        <w:t xml:space="preserve">Greater emphasis and detail added regarding the use of scleral lenses for severe KCS.  </w:t>
      </w:r>
    </w:p>
    <w:p w:rsidR="00BC1083" w:rsidRDefault="00BC1083" w:rsidP="00BC1083">
      <w:pPr>
        <w:pStyle w:val="NoSpacing"/>
        <w:numPr>
          <w:ilvl w:val="1"/>
          <w:numId w:val="15"/>
        </w:numPr>
        <w:shd w:val="pct15" w:color="auto" w:fill="auto"/>
        <w:ind w:left="360"/>
        <w:rPr>
          <w:rFonts w:ascii="Arial" w:hAnsi="Arial" w:cs="Arial"/>
          <w:sz w:val="20"/>
          <w:szCs w:val="24"/>
        </w:rPr>
      </w:pPr>
      <w:r>
        <w:rPr>
          <w:rFonts w:ascii="Arial" w:hAnsi="Arial" w:cs="Arial"/>
          <w:sz w:val="20"/>
          <w:szCs w:val="24"/>
        </w:rPr>
        <w:t>E</w:t>
      </w:r>
      <w:r w:rsidRPr="00D43D35">
        <w:rPr>
          <w:rFonts w:ascii="Arial" w:hAnsi="Arial" w:cs="Arial"/>
          <w:sz w:val="20"/>
        </w:rPr>
        <w:t>vidence for use of PROSE and BSCL lenses</w:t>
      </w:r>
      <w:r>
        <w:rPr>
          <w:rFonts w:ascii="Arial" w:hAnsi="Arial" w:cs="Arial"/>
          <w:sz w:val="20"/>
        </w:rPr>
        <w:t xml:space="preserve"> is stronger</w:t>
      </w:r>
      <w:r w:rsidRPr="00D43D35">
        <w:rPr>
          <w:rFonts w:ascii="Arial" w:hAnsi="Arial" w:cs="Arial"/>
          <w:sz w:val="20"/>
        </w:rPr>
        <w:t xml:space="preserve"> than </w:t>
      </w:r>
      <w:r>
        <w:rPr>
          <w:rFonts w:ascii="Arial" w:hAnsi="Arial" w:cs="Arial"/>
          <w:sz w:val="20"/>
        </w:rPr>
        <w:t xml:space="preserve">for </w:t>
      </w:r>
      <w:r w:rsidRPr="00D43D35">
        <w:rPr>
          <w:rFonts w:ascii="Arial" w:hAnsi="Arial" w:cs="Arial"/>
          <w:sz w:val="20"/>
        </w:rPr>
        <w:t>moisture chamber glasses or goggles.</w:t>
      </w:r>
    </w:p>
    <w:p w:rsidR="00BC1083" w:rsidRPr="00810F93" w:rsidRDefault="00BC1083" w:rsidP="00BC1083">
      <w:pPr>
        <w:pStyle w:val="NoSpacing"/>
        <w:shd w:val="pct15" w:color="auto" w:fill="auto"/>
        <w:rPr>
          <w:rFonts w:ascii="Arial" w:hAnsi="Arial" w:cs="Arial"/>
          <w:sz w:val="20"/>
          <w:szCs w:val="24"/>
        </w:rPr>
      </w:pPr>
    </w:p>
    <w:p w:rsidR="00BC1083" w:rsidRPr="00B510E8" w:rsidRDefault="00BC1083" w:rsidP="00BC1083">
      <w:pPr>
        <w:pStyle w:val="NoSpacing"/>
        <w:shd w:val="pct15" w:color="auto" w:fill="auto"/>
        <w:rPr>
          <w:rFonts w:ascii="Arial" w:hAnsi="Arial" w:cs="Arial"/>
          <w:b/>
          <w:i/>
          <w:sz w:val="20"/>
          <w:szCs w:val="24"/>
        </w:rPr>
      </w:pPr>
      <w:r w:rsidRPr="00B510E8">
        <w:rPr>
          <w:rFonts w:ascii="Arial" w:hAnsi="Arial" w:cs="Arial"/>
          <w:b/>
          <w:i/>
          <w:sz w:val="20"/>
          <w:szCs w:val="24"/>
        </w:rPr>
        <w:t>Genitalia:</w:t>
      </w:r>
    </w:p>
    <w:p w:rsidR="00BC1083" w:rsidRDefault="00BC1083" w:rsidP="00BC1083">
      <w:pPr>
        <w:pStyle w:val="NoSpacing"/>
        <w:numPr>
          <w:ilvl w:val="0"/>
          <w:numId w:val="16"/>
        </w:numPr>
        <w:shd w:val="pct15" w:color="auto" w:fill="auto"/>
        <w:ind w:left="360"/>
        <w:rPr>
          <w:rFonts w:ascii="Arial" w:hAnsi="Arial" w:cs="Arial"/>
          <w:sz w:val="20"/>
          <w:szCs w:val="24"/>
        </w:rPr>
      </w:pPr>
      <w:r>
        <w:rPr>
          <w:rFonts w:ascii="Arial" w:hAnsi="Arial" w:cs="Arial"/>
          <w:sz w:val="20"/>
          <w:szCs w:val="24"/>
        </w:rPr>
        <w:t>Added brief section to recognize chronic GVHD of the male genitalia.</w:t>
      </w:r>
    </w:p>
    <w:p w:rsidR="00BC1083" w:rsidRDefault="00BC1083" w:rsidP="00BC1083">
      <w:pPr>
        <w:pStyle w:val="NoSpacing"/>
        <w:numPr>
          <w:ilvl w:val="0"/>
          <w:numId w:val="16"/>
        </w:numPr>
        <w:shd w:val="pct15" w:color="auto" w:fill="auto"/>
        <w:ind w:left="360"/>
        <w:rPr>
          <w:rFonts w:ascii="Arial" w:hAnsi="Arial" w:cs="Arial"/>
          <w:sz w:val="20"/>
          <w:szCs w:val="24"/>
        </w:rPr>
      </w:pPr>
      <w:r>
        <w:rPr>
          <w:rFonts w:ascii="Arial" w:hAnsi="Arial" w:cs="Arial"/>
          <w:sz w:val="20"/>
          <w:szCs w:val="24"/>
        </w:rPr>
        <w:t>Clarified higher incidence of female genital chronic GVHD based on newer literature.</w:t>
      </w:r>
    </w:p>
    <w:p w:rsidR="00BC1083" w:rsidRDefault="00BC1083" w:rsidP="00BC1083">
      <w:pPr>
        <w:pStyle w:val="NoSpacing"/>
        <w:numPr>
          <w:ilvl w:val="0"/>
          <w:numId w:val="16"/>
        </w:numPr>
        <w:shd w:val="pct15" w:color="auto" w:fill="auto"/>
        <w:ind w:left="360"/>
        <w:rPr>
          <w:rFonts w:ascii="Arial" w:hAnsi="Arial" w:cs="Arial"/>
          <w:sz w:val="20"/>
          <w:szCs w:val="24"/>
        </w:rPr>
      </w:pPr>
      <w:r w:rsidRPr="00810F93">
        <w:rPr>
          <w:rFonts w:ascii="Arial" w:hAnsi="Arial" w:cs="Arial"/>
          <w:sz w:val="20"/>
          <w:szCs w:val="24"/>
        </w:rPr>
        <w:t xml:space="preserve">Added that mild to very active chronic GVHD can be asymptomatic </w:t>
      </w:r>
    </w:p>
    <w:p w:rsidR="00BC1083" w:rsidRDefault="00BC1083" w:rsidP="00BC1083">
      <w:pPr>
        <w:pStyle w:val="NoSpacing"/>
        <w:numPr>
          <w:ilvl w:val="0"/>
          <w:numId w:val="16"/>
        </w:numPr>
        <w:shd w:val="pct15" w:color="auto" w:fill="auto"/>
        <w:ind w:left="360"/>
        <w:rPr>
          <w:rFonts w:ascii="Arial" w:hAnsi="Arial" w:cs="Arial"/>
          <w:sz w:val="20"/>
          <w:szCs w:val="24"/>
        </w:rPr>
      </w:pPr>
      <w:r>
        <w:rPr>
          <w:rFonts w:ascii="Arial" w:hAnsi="Arial" w:cs="Arial"/>
          <w:sz w:val="20"/>
          <w:szCs w:val="24"/>
        </w:rPr>
        <w:t xml:space="preserve">Added new section to highlight the importance of “Routine surveillance”. </w:t>
      </w:r>
    </w:p>
    <w:p w:rsidR="00BC1083" w:rsidRDefault="00BC1083" w:rsidP="00BC1083">
      <w:pPr>
        <w:pStyle w:val="NoSpacing"/>
        <w:numPr>
          <w:ilvl w:val="0"/>
          <w:numId w:val="16"/>
        </w:numPr>
        <w:shd w:val="pct15" w:color="auto" w:fill="auto"/>
        <w:ind w:left="360"/>
        <w:rPr>
          <w:rFonts w:ascii="Arial" w:hAnsi="Arial" w:cs="Arial"/>
          <w:sz w:val="20"/>
          <w:szCs w:val="24"/>
        </w:rPr>
      </w:pPr>
      <w:r>
        <w:rPr>
          <w:rFonts w:ascii="Arial" w:hAnsi="Arial" w:cs="Arial"/>
          <w:sz w:val="20"/>
          <w:szCs w:val="24"/>
        </w:rPr>
        <w:t xml:space="preserve">Re-titled section on “Symptomatic low estrogen states” as “Vulvar and vaginal atrophy”. </w:t>
      </w:r>
    </w:p>
    <w:p w:rsidR="00BC1083" w:rsidRDefault="00BC1083" w:rsidP="00BC1083">
      <w:pPr>
        <w:pStyle w:val="NoSpacing"/>
        <w:numPr>
          <w:ilvl w:val="0"/>
          <w:numId w:val="16"/>
        </w:numPr>
        <w:shd w:val="pct15" w:color="auto" w:fill="auto"/>
        <w:ind w:left="360"/>
        <w:rPr>
          <w:rFonts w:ascii="Arial" w:hAnsi="Arial" w:cs="Arial"/>
          <w:sz w:val="20"/>
          <w:szCs w:val="24"/>
        </w:rPr>
      </w:pPr>
      <w:r>
        <w:rPr>
          <w:rFonts w:ascii="Arial" w:hAnsi="Arial" w:cs="Arial"/>
          <w:sz w:val="20"/>
          <w:szCs w:val="24"/>
        </w:rPr>
        <w:t>Added that clindamycin added to topical steroids has benefit in vaginal GVHD.</w:t>
      </w:r>
    </w:p>
    <w:p w:rsidR="00BC1083" w:rsidRPr="00B53C74" w:rsidRDefault="00BC1083" w:rsidP="00BC1083">
      <w:pPr>
        <w:pStyle w:val="NoSpacing"/>
        <w:shd w:val="pct15" w:color="auto" w:fill="auto"/>
        <w:rPr>
          <w:rFonts w:ascii="Arial" w:hAnsi="Arial" w:cs="Arial"/>
          <w:sz w:val="20"/>
          <w:szCs w:val="24"/>
        </w:rPr>
      </w:pPr>
    </w:p>
    <w:p w:rsidR="00BC1083" w:rsidRPr="00B510E8" w:rsidRDefault="00BC1083" w:rsidP="00BC1083">
      <w:pPr>
        <w:shd w:val="pct15" w:color="auto" w:fill="auto"/>
        <w:tabs>
          <w:tab w:val="left" w:pos="360"/>
        </w:tabs>
        <w:rPr>
          <w:rFonts w:ascii="Arial" w:hAnsi="Arial" w:cs="Arial"/>
          <w:b/>
          <w:i/>
          <w:sz w:val="20"/>
        </w:rPr>
      </w:pPr>
      <w:r w:rsidRPr="00B510E8">
        <w:rPr>
          <w:rFonts w:ascii="Arial" w:hAnsi="Arial" w:cs="Arial"/>
          <w:b/>
          <w:i/>
          <w:sz w:val="20"/>
        </w:rPr>
        <w:lastRenderedPageBreak/>
        <w:t>Gastrointestinal and Liver:</w:t>
      </w:r>
    </w:p>
    <w:p w:rsidR="00BC1083" w:rsidRDefault="00BC1083" w:rsidP="00BC1083">
      <w:pPr>
        <w:pStyle w:val="ListParagraph"/>
        <w:numPr>
          <w:ilvl w:val="0"/>
          <w:numId w:val="17"/>
        </w:numPr>
        <w:shd w:val="pct15" w:color="auto" w:fill="auto"/>
        <w:tabs>
          <w:tab w:val="left" w:pos="360"/>
        </w:tabs>
        <w:spacing w:after="0" w:line="240" w:lineRule="auto"/>
        <w:ind w:left="360"/>
        <w:rPr>
          <w:rFonts w:ascii="Arial" w:hAnsi="Arial" w:cs="Arial"/>
          <w:sz w:val="20"/>
        </w:rPr>
      </w:pPr>
      <w:r>
        <w:rPr>
          <w:rFonts w:ascii="Arial" w:hAnsi="Arial" w:cs="Arial"/>
          <w:sz w:val="20"/>
        </w:rPr>
        <w:t xml:space="preserve">Toxicities of commonly used drugs are noted to be possible causes of nausea / weight loss. </w:t>
      </w:r>
    </w:p>
    <w:p w:rsidR="00BC1083" w:rsidRDefault="00BC1083" w:rsidP="00BC1083">
      <w:pPr>
        <w:pStyle w:val="ListParagraph"/>
        <w:numPr>
          <w:ilvl w:val="0"/>
          <w:numId w:val="17"/>
        </w:numPr>
        <w:shd w:val="pct15" w:color="auto" w:fill="auto"/>
        <w:tabs>
          <w:tab w:val="left" w:pos="360"/>
        </w:tabs>
        <w:spacing w:after="0" w:line="240" w:lineRule="auto"/>
        <w:ind w:left="360"/>
        <w:rPr>
          <w:rFonts w:ascii="Arial" w:hAnsi="Arial" w:cs="Arial"/>
          <w:sz w:val="20"/>
        </w:rPr>
      </w:pPr>
      <w:r>
        <w:rPr>
          <w:rFonts w:ascii="Arial" w:hAnsi="Arial" w:cs="Arial"/>
          <w:sz w:val="20"/>
        </w:rPr>
        <w:t>Clarifications and additions to Table 7: “topical” gastrointestinal steroids, bile acid binding resins, and anti-viral therapy for hepatitis B and C.</w:t>
      </w:r>
    </w:p>
    <w:p w:rsidR="00BC1083" w:rsidRPr="00B653E6" w:rsidRDefault="00BC1083" w:rsidP="00BC1083">
      <w:pPr>
        <w:shd w:val="pct15" w:color="auto" w:fill="auto"/>
        <w:tabs>
          <w:tab w:val="left" w:pos="0"/>
        </w:tabs>
        <w:rPr>
          <w:rFonts w:ascii="Arial" w:hAnsi="Arial" w:cs="Arial"/>
          <w:sz w:val="20"/>
        </w:rPr>
      </w:pPr>
    </w:p>
    <w:p w:rsidR="00BC1083" w:rsidRPr="00B510E8" w:rsidRDefault="00BC1083" w:rsidP="00BC1083">
      <w:pPr>
        <w:shd w:val="pct15" w:color="auto" w:fill="auto"/>
        <w:tabs>
          <w:tab w:val="left" w:pos="360"/>
        </w:tabs>
        <w:rPr>
          <w:rFonts w:ascii="Arial" w:hAnsi="Arial" w:cs="Arial"/>
          <w:b/>
          <w:i/>
          <w:sz w:val="20"/>
        </w:rPr>
      </w:pPr>
      <w:r w:rsidRPr="00B510E8">
        <w:rPr>
          <w:rFonts w:ascii="Arial" w:hAnsi="Arial" w:cs="Arial"/>
          <w:b/>
          <w:i/>
          <w:sz w:val="20"/>
        </w:rPr>
        <w:t>Lungs:</w:t>
      </w:r>
    </w:p>
    <w:p w:rsidR="00BC1083" w:rsidRPr="002A6843" w:rsidRDefault="00BC1083" w:rsidP="00BC1083">
      <w:pPr>
        <w:pStyle w:val="ListParagraph"/>
        <w:numPr>
          <w:ilvl w:val="0"/>
          <w:numId w:val="18"/>
        </w:numPr>
        <w:shd w:val="pct15" w:color="auto" w:fill="auto"/>
        <w:tabs>
          <w:tab w:val="left" w:pos="360"/>
        </w:tabs>
        <w:spacing w:after="0" w:line="240" w:lineRule="auto"/>
        <w:ind w:left="360"/>
        <w:rPr>
          <w:rFonts w:ascii="Arial" w:hAnsi="Arial" w:cs="Arial"/>
          <w:sz w:val="20"/>
        </w:rPr>
      </w:pPr>
      <w:r w:rsidRPr="002A6843">
        <w:rPr>
          <w:rFonts w:ascii="Arial" w:hAnsi="Arial" w:cs="Arial"/>
          <w:sz w:val="20"/>
        </w:rPr>
        <w:t>Extensive rewrite and deletion of Figure 1 to improve clarity.</w:t>
      </w:r>
    </w:p>
    <w:p w:rsidR="00BC1083" w:rsidRDefault="00BC1083" w:rsidP="00BC1083">
      <w:pPr>
        <w:pStyle w:val="ListParagraph"/>
        <w:numPr>
          <w:ilvl w:val="0"/>
          <w:numId w:val="18"/>
        </w:numPr>
        <w:shd w:val="pct15" w:color="auto" w:fill="auto"/>
        <w:tabs>
          <w:tab w:val="left" w:pos="360"/>
        </w:tabs>
        <w:spacing w:after="0" w:line="240" w:lineRule="auto"/>
        <w:ind w:left="360"/>
        <w:rPr>
          <w:rFonts w:ascii="Arial" w:hAnsi="Arial" w:cs="Arial"/>
          <w:sz w:val="20"/>
        </w:rPr>
      </w:pPr>
      <w:r>
        <w:rPr>
          <w:rFonts w:ascii="Arial" w:hAnsi="Arial" w:cs="Arial"/>
          <w:sz w:val="20"/>
        </w:rPr>
        <w:t xml:space="preserve">Greater emphasis to encourage regular PFT monitoring for airflow obstruction. </w:t>
      </w:r>
    </w:p>
    <w:p w:rsidR="00BC1083" w:rsidRDefault="00BC1083" w:rsidP="00BC1083">
      <w:pPr>
        <w:pStyle w:val="ListParagraph"/>
        <w:numPr>
          <w:ilvl w:val="0"/>
          <w:numId w:val="18"/>
        </w:numPr>
        <w:shd w:val="pct15" w:color="auto" w:fill="auto"/>
        <w:tabs>
          <w:tab w:val="left" w:pos="360"/>
        </w:tabs>
        <w:spacing w:after="0" w:line="240" w:lineRule="auto"/>
        <w:ind w:left="360"/>
        <w:rPr>
          <w:rFonts w:ascii="Arial" w:hAnsi="Arial" w:cs="Arial"/>
          <w:sz w:val="20"/>
        </w:rPr>
      </w:pPr>
      <w:r>
        <w:rPr>
          <w:rFonts w:ascii="Arial" w:hAnsi="Arial" w:cs="Arial"/>
          <w:sz w:val="20"/>
        </w:rPr>
        <w:t>Addition of fluticasone, azithromycin and montelukast (“FAM”) as initial therapy for BOS.</w:t>
      </w:r>
    </w:p>
    <w:p w:rsidR="00BC1083" w:rsidRDefault="00BC1083" w:rsidP="00BC1083">
      <w:pPr>
        <w:pStyle w:val="ListParagraph"/>
        <w:numPr>
          <w:ilvl w:val="0"/>
          <w:numId w:val="18"/>
        </w:numPr>
        <w:shd w:val="pct15" w:color="auto" w:fill="auto"/>
        <w:tabs>
          <w:tab w:val="left" w:pos="360"/>
        </w:tabs>
        <w:spacing w:after="0" w:line="240" w:lineRule="auto"/>
        <w:ind w:left="360"/>
        <w:rPr>
          <w:rFonts w:ascii="Arial" w:hAnsi="Arial" w:cs="Arial"/>
          <w:sz w:val="20"/>
        </w:rPr>
      </w:pPr>
      <w:r>
        <w:rPr>
          <w:rFonts w:ascii="Arial" w:hAnsi="Arial" w:cs="Arial"/>
          <w:sz w:val="20"/>
        </w:rPr>
        <w:t>New paragraph on potential role of lung transplantation for end-stage BOS.</w:t>
      </w:r>
    </w:p>
    <w:p w:rsidR="00BC1083" w:rsidRDefault="00BC1083" w:rsidP="00BC1083">
      <w:pPr>
        <w:shd w:val="pct15" w:color="auto" w:fill="auto"/>
        <w:tabs>
          <w:tab w:val="left" w:pos="360"/>
        </w:tabs>
        <w:rPr>
          <w:rFonts w:ascii="Arial" w:hAnsi="Arial" w:cs="Arial"/>
          <w:sz w:val="20"/>
        </w:rPr>
      </w:pPr>
    </w:p>
    <w:p w:rsidR="00BC1083" w:rsidRPr="00B510E8" w:rsidRDefault="00BC1083" w:rsidP="00BC1083">
      <w:pPr>
        <w:shd w:val="pct15" w:color="auto" w:fill="auto"/>
        <w:tabs>
          <w:tab w:val="left" w:pos="360"/>
        </w:tabs>
        <w:rPr>
          <w:rFonts w:ascii="Arial" w:hAnsi="Arial" w:cs="Arial"/>
          <w:b/>
          <w:i/>
          <w:sz w:val="20"/>
        </w:rPr>
      </w:pPr>
      <w:r w:rsidRPr="00B510E8">
        <w:rPr>
          <w:rFonts w:ascii="Arial" w:hAnsi="Arial" w:cs="Arial"/>
          <w:b/>
          <w:i/>
          <w:sz w:val="20"/>
        </w:rPr>
        <w:t>Neurologic:</w:t>
      </w:r>
    </w:p>
    <w:p w:rsidR="00BC1083" w:rsidRDefault="00BC1083" w:rsidP="00BC1083">
      <w:pPr>
        <w:numPr>
          <w:ilvl w:val="0"/>
          <w:numId w:val="19"/>
        </w:numPr>
        <w:shd w:val="pct15" w:color="auto" w:fill="auto"/>
        <w:tabs>
          <w:tab w:val="left" w:pos="360"/>
        </w:tabs>
        <w:spacing w:after="0" w:line="240" w:lineRule="auto"/>
        <w:ind w:left="360"/>
        <w:rPr>
          <w:rFonts w:ascii="Arial" w:hAnsi="Arial" w:cs="Arial"/>
          <w:sz w:val="20"/>
        </w:rPr>
      </w:pPr>
      <w:r>
        <w:rPr>
          <w:rFonts w:ascii="Arial" w:hAnsi="Arial" w:cs="Arial"/>
          <w:sz w:val="20"/>
        </w:rPr>
        <w:t>Mentioned utility of EMG and nerve conduction studies to assess neuropathies and myopathies.</w:t>
      </w:r>
    </w:p>
    <w:p w:rsidR="00BC1083" w:rsidRDefault="00BC1083" w:rsidP="00BC1083">
      <w:pPr>
        <w:numPr>
          <w:ilvl w:val="0"/>
          <w:numId w:val="19"/>
        </w:numPr>
        <w:shd w:val="pct15" w:color="auto" w:fill="auto"/>
        <w:tabs>
          <w:tab w:val="left" w:pos="360"/>
        </w:tabs>
        <w:spacing w:after="0" w:line="240" w:lineRule="auto"/>
        <w:ind w:left="360"/>
        <w:rPr>
          <w:rFonts w:ascii="Arial" w:hAnsi="Arial" w:cs="Arial"/>
          <w:sz w:val="20"/>
        </w:rPr>
      </w:pPr>
      <w:r>
        <w:rPr>
          <w:rFonts w:ascii="Arial" w:hAnsi="Arial" w:cs="Arial"/>
          <w:sz w:val="20"/>
        </w:rPr>
        <w:t>Called attention to prevention of falls among patients with myopathies and neuropathies</w:t>
      </w:r>
    </w:p>
    <w:p w:rsidR="00BC1083" w:rsidRDefault="00BC1083" w:rsidP="00BC1083">
      <w:pPr>
        <w:numPr>
          <w:ilvl w:val="0"/>
          <w:numId w:val="19"/>
        </w:numPr>
        <w:shd w:val="pct15" w:color="auto" w:fill="auto"/>
        <w:tabs>
          <w:tab w:val="left" w:pos="360"/>
        </w:tabs>
        <w:spacing w:after="0" w:line="240" w:lineRule="auto"/>
        <w:ind w:left="360"/>
        <w:rPr>
          <w:rFonts w:ascii="Arial" w:hAnsi="Arial" w:cs="Arial"/>
          <w:sz w:val="20"/>
        </w:rPr>
      </w:pPr>
      <w:r>
        <w:rPr>
          <w:rFonts w:ascii="Arial" w:hAnsi="Arial" w:cs="Arial"/>
          <w:sz w:val="20"/>
        </w:rPr>
        <w:t>Called attention to easily unrecognized extremity ulcers in patients with distal insensitivity in the extremities.</w:t>
      </w:r>
    </w:p>
    <w:p w:rsidR="00BC1083" w:rsidRDefault="00BC1083" w:rsidP="00BC1083">
      <w:pPr>
        <w:numPr>
          <w:ilvl w:val="0"/>
          <w:numId w:val="19"/>
        </w:numPr>
        <w:shd w:val="pct15" w:color="auto" w:fill="auto"/>
        <w:tabs>
          <w:tab w:val="left" w:pos="360"/>
        </w:tabs>
        <w:spacing w:after="0" w:line="240" w:lineRule="auto"/>
        <w:ind w:left="360"/>
        <w:rPr>
          <w:rFonts w:ascii="Arial" w:hAnsi="Arial" w:cs="Arial"/>
          <w:sz w:val="20"/>
        </w:rPr>
      </w:pPr>
      <w:r>
        <w:rPr>
          <w:rFonts w:ascii="Arial" w:hAnsi="Arial" w:cs="Arial"/>
          <w:sz w:val="20"/>
        </w:rPr>
        <w:t xml:space="preserve">Called attention to entrapment mononeuropathies in sclerotic phenotype GVHD and possible treatment with bracing, splinting, off-loading or surgical release. </w:t>
      </w:r>
    </w:p>
    <w:p w:rsidR="00BC1083" w:rsidRDefault="00BC1083" w:rsidP="00BC1083">
      <w:pPr>
        <w:numPr>
          <w:ilvl w:val="0"/>
          <w:numId w:val="19"/>
        </w:numPr>
        <w:shd w:val="pct15" w:color="auto" w:fill="auto"/>
        <w:tabs>
          <w:tab w:val="left" w:pos="360"/>
        </w:tabs>
        <w:spacing w:after="0" w:line="240" w:lineRule="auto"/>
        <w:ind w:left="360"/>
        <w:rPr>
          <w:rFonts w:ascii="Arial" w:hAnsi="Arial" w:cs="Arial"/>
          <w:sz w:val="20"/>
        </w:rPr>
      </w:pPr>
      <w:r>
        <w:rPr>
          <w:rFonts w:ascii="Arial" w:hAnsi="Arial" w:cs="Arial"/>
          <w:sz w:val="20"/>
        </w:rPr>
        <w:t>Added reminder that maintaining muscle strength requires strength training, not just cardiovascular fitness</w:t>
      </w:r>
      <w:r w:rsidR="00C912D4">
        <w:rPr>
          <w:rFonts w:ascii="Arial" w:hAnsi="Arial" w:cs="Arial"/>
          <w:sz w:val="20"/>
        </w:rPr>
        <w:t>.</w:t>
      </w:r>
    </w:p>
    <w:p w:rsidR="00BC1083" w:rsidRDefault="00BC1083" w:rsidP="00BC1083">
      <w:pPr>
        <w:numPr>
          <w:ilvl w:val="0"/>
          <w:numId w:val="19"/>
        </w:numPr>
        <w:shd w:val="pct15" w:color="auto" w:fill="auto"/>
        <w:tabs>
          <w:tab w:val="left" w:pos="360"/>
        </w:tabs>
        <w:spacing w:after="0" w:line="240" w:lineRule="auto"/>
        <w:ind w:left="360"/>
        <w:rPr>
          <w:rFonts w:ascii="Arial" w:hAnsi="Arial" w:cs="Arial"/>
          <w:sz w:val="20"/>
        </w:rPr>
      </w:pPr>
      <w:r>
        <w:rPr>
          <w:rFonts w:ascii="Arial" w:hAnsi="Arial" w:cs="Arial"/>
          <w:sz w:val="20"/>
        </w:rPr>
        <w:t>Added a section on “Muscle cramps” as well as relevant additions to Table 10.</w:t>
      </w:r>
    </w:p>
    <w:p w:rsidR="00BC1083" w:rsidRPr="00B510E8" w:rsidRDefault="00BC1083" w:rsidP="00BC1083">
      <w:pPr>
        <w:shd w:val="pct15" w:color="auto" w:fill="auto"/>
        <w:tabs>
          <w:tab w:val="left" w:pos="360"/>
        </w:tabs>
        <w:rPr>
          <w:rFonts w:ascii="Arial" w:hAnsi="Arial" w:cs="Arial"/>
          <w:b/>
          <w:i/>
          <w:sz w:val="20"/>
        </w:rPr>
      </w:pPr>
    </w:p>
    <w:p w:rsidR="00BC1083" w:rsidRPr="00B510E8" w:rsidRDefault="00BC1083" w:rsidP="00BC1083">
      <w:pPr>
        <w:shd w:val="pct15" w:color="auto" w:fill="auto"/>
        <w:tabs>
          <w:tab w:val="left" w:pos="360"/>
        </w:tabs>
        <w:rPr>
          <w:rFonts w:ascii="Arial" w:hAnsi="Arial" w:cs="Arial"/>
          <w:b/>
          <w:i/>
          <w:sz w:val="20"/>
        </w:rPr>
      </w:pPr>
      <w:r w:rsidRPr="00B510E8">
        <w:rPr>
          <w:rFonts w:ascii="Arial" w:hAnsi="Arial" w:cs="Arial"/>
          <w:b/>
          <w:i/>
          <w:sz w:val="20"/>
        </w:rPr>
        <w:t>Immunologic and Infectious Diseases:</w:t>
      </w:r>
    </w:p>
    <w:p w:rsidR="00BC1083" w:rsidRPr="00F9565D" w:rsidRDefault="00BC1083" w:rsidP="00BC1083">
      <w:pPr>
        <w:pStyle w:val="ListParagraph"/>
        <w:numPr>
          <w:ilvl w:val="0"/>
          <w:numId w:val="20"/>
        </w:numPr>
        <w:shd w:val="pct15" w:color="auto" w:fill="auto"/>
        <w:tabs>
          <w:tab w:val="left" w:pos="360"/>
          <w:tab w:val="left" w:pos="450"/>
        </w:tabs>
        <w:spacing w:after="0" w:line="240" w:lineRule="auto"/>
        <w:ind w:left="360"/>
        <w:rPr>
          <w:rFonts w:ascii="Arial" w:hAnsi="Arial" w:cs="Arial"/>
          <w:sz w:val="20"/>
        </w:rPr>
      </w:pPr>
      <w:r w:rsidRPr="00F9565D">
        <w:rPr>
          <w:rFonts w:ascii="Arial" w:hAnsi="Arial" w:cs="Arial"/>
          <w:sz w:val="20"/>
        </w:rPr>
        <w:t>Encapsulated organism prophylaxis more definitively stated as necessary but choice of antibiotic should consider patterns of pneumococcal resistance</w:t>
      </w:r>
      <w:r>
        <w:rPr>
          <w:rFonts w:ascii="Arial" w:hAnsi="Arial" w:cs="Arial"/>
          <w:sz w:val="20"/>
        </w:rPr>
        <w:t xml:space="preserve"> with more options provided in Table 11</w:t>
      </w:r>
      <w:r w:rsidRPr="00F9565D">
        <w:rPr>
          <w:rFonts w:ascii="Arial" w:hAnsi="Arial" w:cs="Arial"/>
          <w:sz w:val="20"/>
        </w:rPr>
        <w:t>.</w:t>
      </w:r>
    </w:p>
    <w:p w:rsidR="00BC1083" w:rsidRDefault="00BC1083" w:rsidP="00BC1083">
      <w:pPr>
        <w:pStyle w:val="ListParagraph"/>
        <w:numPr>
          <w:ilvl w:val="0"/>
          <w:numId w:val="20"/>
        </w:numPr>
        <w:shd w:val="pct15" w:color="auto" w:fill="auto"/>
        <w:tabs>
          <w:tab w:val="left" w:pos="360"/>
          <w:tab w:val="left" w:pos="450"/>
        </w:tabs>
        <w:spacing w:after="0" w:line="240" w:lineRule="auto"/>
        <w:ind w:left="360"/>
        <w:rPr>
          <w:rFonts w:ascii="Arial" w:hAnsi="Arial" w:cs="Arial"/>
          <w:sz w:val="20"/>
        </w:rPr>
      </w:pPr>
      <w:r>
        <w:rPr>
          <w:rFonts w:ascii="Arial" w:hAnsi="Arial" w:cs="Arial"/>
          <w:sz w:val="20"/>
        </w:rPr>
        <w:t>Vaccinations against encapsulated organisms may begin earlier (3-6 months posttransplant) reflecting newer recommendations by ASBMT/IDSA and other groups.</w:t>
      </w:r>
    </w:p>
    <w:p w:rsidR="00BC1083" w:rsidRDefault="00BC1083" w:rsidP="00BC1083">
      <w:pPr>
        <w:pStyle w:val="ListParagraph"/>
        <w:numPr>
          <w:ilvl w:val="0"/>
          <w:numId w:val="20"/>
        </w:numPr>
        <w:shd w:val="pct15" w:color="auto" w:fill="auto"/>
        <w:tabs>
          <w:tab w:val="left" w:pos="360"/>
          <w:tab w:val="left" w:pos="450"/>
        </w:tabs>
        <w:spacing w:after="0" w:line="240" w:lineRule="auto"/>
        <w:ind w:left="360"/>
        <w:rPr>
          <w:rFonts w:ascii="Arial" w:hAnsi="Arial" w:cs="Arial"/>
          <w:sz w:val="20"/>
        </w:rPr>
      </w:pPr>
      <w:r>
        <w:rPr>
          <w:rFonts w:ascii="Arial" w:hAnsi="Arial" w:cs="Arial"/>
          <w:sz w:val="20"/>
        </w:rPr>
        <w:t>Antifungal prophylaxis updated to consider primary prophylaxis with posaconazole or voriconazole for high-risk patients and secondary prophylaxis based on history of prior specific pathogen.</w:t>
      </w:r>
    </w:p>
    <w:p w:rsidR="00BC1083" w:rsidRDefault="00BC1083" w:rsidP="00BC1083">
      <w:pPr>
        <w:pStyle w:val="ListParagraph"/>
        <w:numPr>
          <w:ilvl w:val="0"/>
          <w:numId w:val="20"/>
        </w:numPr>
        <w:shd w:val="pct15" w:color="auto" w:fill="auto"/>
        <w:tabs>
          <w:tab w:val="left" w:pos="360"/>
          <w:tab w:val="left" w:pos="450"/>
        </w:tabs>
        <w:spacing w:after="0" w:line="240" w:lineRule="auto"/>
        <w:ind w:left="360"/>
        <w:rPr>
          <w:rFonts w:ascii="Arial" w:hAnsi="Arial" w:cs="Arial"/>
          <w:sz w:val="20"/>
        </w:rPr>
      </w:pPr>
      <w:r>
        <w:rPr>
          <w:rFonts w:ascii="Arial" w:hAnsi="Arial" w:cs="Arial"/>
          <w:sz w:val="20"/>
        </w:rPr>
        <w:t>Stronger emphasis on cotrimoxazole (if tolerated) over alternative forms of PJP prophylaxis.</w:t>
      </w:r>
    </w:p>
    <w:p w:rsidR="00BC1083" w:rsidRDefault="00BC1083" w:rsidP="00BC1083">
      <w:pPr>
        <w:pStyle w:val="ListParagraph"/>
        <w:numPr>
          <w:ilvl w:val="0"/>
          <w:numId w:val="20"/>
        </w:numPr>
        <w:shd w:val="pct15" w:color="auto" w:fill="auto"/>
        <w:tabs>
          <w:tab w:val="left" w:pos="360"/>
          <w:tab w:val="left" w:pos="450"/>
        </w:tabs>
        <w:spacing w:after="0" w:line="240" w:lineRule="auto"/>
        <w:ind w:left="360"/>
        <w:rPr>
          <w:rFonts w:ascii="Arial" w:hAnsi="Arial" w:cs="Arial"/>
          <w:sz w:val="20"/>
        </w:rPr>
      </w:pPr>
      <w:r>
        <w:rPr>
          <w:rFonts w:ascii="Arial" w:hAnsi="Arial" w:cs="Arial"/>
          <w:sz w:val="20"/>
        </w:rPr>
        <w:t>Added option of CMV prophylaxis with valganciclovir (or high dose valacyclovir) for CMV-seropositive cord blood recipients during 1</w:t>
      </w:r>
      <w:r w:rsidRPr="009E3A4E">
        <w:rPr>
          <w:rFonts w:ascii="Arial" w:hAnsi="Arial" w:cs="Arial"/>
          <w:sz w:val="20"/>
          <w:vertAlign w:val="superscript"/>
        </w:rPr>
        <w:t>st</w:t>
      </w:r>
      <w:r>
        <w:rPr>
          <w:rFonts w:ascii="Arial" w:hAnsi="Arial" w:cs="Arial"/>
          <w:sz w:val="20"/>
        </w:rPr>
        <w:t xml:space="preserve"> year after transplantation.</w:t>
      </w:r>
    </w:p>
    <w:p w:rsidR="00BC1083" w:rsidRDefault="00BC1083" w:rsidP="00BC1083">
      <w:pPr>
        <w:pStyle w:val="ListParagraph"/>
        <w:numPr>
          <w:ilvl w:val="0"/>
          <w:numId w:val="20"/>
        </w:numPr>
        <w:shd w:val="pct15" w:color="auto" w:fill="auto"/>
        <w:tabs>
          <w:tab w:val="left" w:pos="360"/>
          <w:tab w:val="left" w:pos="450"/>
        </w:tabs>
        <w:spacing w:after="0" w:line="240" w:lineRule="auto"/>
        <w:ind w:left="360"/>
        <w:rPr>
          <w:rFonts w:ascii="Arial" w:hAnsi="Arial" w:cs="Arial"/>
          <w:sz w:val="20"/>
        </w:rPr>
      </w:pPr>
      <w:r>
        <w:rPr>
          <w:rFonts w:ascii="Arial" w:hAnsi="Arial" w:cs="Arial"/>
          <w:sz w:val="20"/>
        </w:rPr>
        <w:t>Pediatric considerations (Table 11) explain the more liberal use of IVIG in children treated for primary immunodeficiency diseases.</w:t>
      </w:r>
    </w:p>
    <w:p w:rsidR="00BC1083" w:rsidRPr="00B510E8" w:rsidRDefault="00BC1083" w:rsidP="00BC1083">
      <w:pPr>
        <w:shd w:val="pct15" w:color="auto" w:fill="auto"/>
        <w:tabs>
          <w:tab w:val="left" w:pos="0"/>
          <w:tab w:val="left" w:pos="450"/>
        </w:tabs>
        <w:rPr>
          <w:rFonts w:ascii="Arial" w:hAnsi="Arial" w:cs="Arial"/>
          <w:b/>
          <w:i/>
          <w:sz w:val="20"/>
        </w:rPr>
      </w:pPr>
    </w:p>
    <w:p w:rsidR="00BC1083" w:rsidRPr="00B510E8" w:rsidRDefault="00BC1083" w:rsidP="00BC1083">
      <w:pPr>
        <w:shd w:val="pct15" w:color="auto" w:fill="auto"/>
        <w:tabs>
          <w:tab w:val="left" w:pos="360"/>
        </w:tabs>
        <w:rPr>
          <w:rFonts w:ascii="Arial" w:hAnsi="Arial" w:cs="Arial"/>
          <w:b/>
          <w:i/>
          <w:sz w:val="20"/>
        </w:rPr>
      </w:pPr>
      <w:r w:rsidRPr="00B510E8">
        <w:rPr>
          <w:rFonts w:ascii="Arial" w:hAnsi="Arial" w:cs="Arial"/>
          <w:b/>
          <w:i/>
          <w:sz w:val="20"/>
        </w:rPr>
        <w:t>Musculoskeletal:</w:t>
      </w:r>
    </w:p>
    <w:p w:rsidR="00BC1083" w:rsidRPr="000827E2" w:rsidRDefault="00BC1083" w:rsidP="00BC1083">
      <w:pPr>
        <w:pStyle w:val="ListParagraph"/>
        <w:numPr>
          <w:ilvl w:val="0"/>
          <w:numId w:val="21"/>
        </w:numPr>
        <w:shd w:val="pct15" w:color="auto" w:fill="auto"/>
        <w:tabs>
          <w:tab w:val="left" w:pos="360"/>
        </w:tabs>
        <w:spacing w:after="0" w:line="240" w:lineRule="auto"/>
        <w:ind w:left="360"/>
        <w:rPr>
          <w:rFonts w:ascii="Arial" w:hAnsi="Arial" w:cs="Arial"/>
          <w:sz w:val="20"/>
        </w:rPr>
      </w:pPr>
      <w:r w:rsidRPr="000827E2">
        <w:rPr>
          <w:rFonts w:ascii="Arial" w:hAnsi="Arial" w:cs="Arial"/>
          <w:sz w:val="20"/>
        </w:rPr>
        <w:t>Added information about avascular necrosis to text and Table 12.</w:t>
      </w:r>
    </w:p>
    <w:p w:rsidR="00BC1083" w:rsidRPr="000827E2" w:rsidRDefault="00BC1083" w:rsidP="00BC1083">
      <w:pPr>
        <w:pStyle w:val="ListParagraph"/>
        <w:numPr>
          <w:ilvl w:val="0"/>
          <w:numId w:val="21"/>
        </w:numPr>
        <w:shd w:val="pct15" w:color="auto" w:fill="auto"/>
        <w:tabs>
          <w:tab w:val="left" w:pos="360"/>
        </w:tabs>
        <w:spacing w:after="0" w:line="240" w:lineRule="auto"/>
        <w:ind w:left="360"/>
        <w:rPr>
          <w:rFonts w:ascii="Arial" w:hAnsi="Arial" w:cs="Arial"/>
          <w:sz w:val="20"/>
        </w:rPr>
      </w:pPr>
      <w:r>
        <w:rPr>
          <w:rFonts w:ascii="Arial" w:hAnsi="Arial" w:cs="Arial"/>
          <w:sz w:val="20"/>
        </w:rPr>
        <w:t>Added hyperlinks the online 10-year fracture risk calculators that are available to guide anti-resorptive therapy in adults: FRAX (</w:t>
      </w:r>
      <w:hyperlink r:id="rId8" w:history="1">
        <w:r w:rsidRPr="00860657">
          <w:rPr>
            <w:rStyle w:val="Hyperlink"/>
            <w:rFonts w:ascii="Arial" w:hAnsi="Arial" w:cs="Arial"/>
            <w:sz w:val="20"/>
          </w:rPr>
          <w:t>http://www.shef.ac.uk/FRAX/tool.aspx</w:t>
        </w:r>
      </w:hyperlink>
      <w:r>
        <w:rPr>
          <w:rFonts w:ascii="Arial" w:hAnsi="Arial" w:cs="Arial"/>
          <w:sz w:val="20"/>
        </w:rPr>
        <w:t xml:space="preserve">), </w:t>
      </w:r>
      <w:r w:rsidRPr="000827E2">
        <w:rPr>
          <w:rFonts w:ascii="Arial" w:hAnsi="Arial" w:cs="Arial"/>
          <w:sz w:val="20"/>
        </w:rPr>
        <w:t>FORE (</w:t>
      </w:r>
      <w:hyperlink r:id="rId9" w:history="1">
        <w:r w:rsidRPr="000827E2">
          <w:rPr>
            <w:rStyle w:val="Hyperlink"/>
            <w:rFonts w:ascii="Arial" w:hAnsi="Arial" w:cs="Arial"/>
            <w:sz w:val="20"/>
          </w:rPr>
          <w:t>https://risk.calculator.fore.org/default.aspx</w:t>
        </w:r>
      </w:hyperlink>
      <w:r w:rsidRPr="000827E2">
        <w:rPr>
          <w:rFonts w:ascii="Arial" w:hAnsi="Arial" w:cs="Arial"/>
          <w:sz w:val="20"/>
        </w:rPr>
        <w:t>).</w:t>
      </w:r>
    </w:p>
    <w:p w:rsidR="00BC1083" w:rsidRDefault="00BC1083" w:rsidP="00BC1083">
      <w:pPr>
        <w:pStyle w:val="ListParagraph"/>
        <w:numPr>
          <w:ilvl w:val="0"/>
          <w:numId w:val="21"/>
        </w:numPr>
        <w:shd w:val="pct15" w:color="auto" w:fill="auto"/>
        <w:tabs>
          <w:tab w:val="left" w:pos="360"/>
        </w:tabs>
        <w:spacing w:after="0" w:line="240" w:lineRule="auto"/>
        <w:ind w:left="360"/>
        <w:rPr>
          <w:rFonts w:ascii="Arial" w:hAnsi="Arial" w:cs="Arial"/>
          <w:sz w:val="20"/>
        </w:rPr>
      </w:pPr>
      <w:r>
        <w:rPr>
          <w:rFonts w:ascii="Arial" w:hAnsi="Arial" w:cs="Arial"/>
          <w:sz w:val="20"/>
        </w:rPr>
        <w:t>Brief mention is made regarding the use of teriparatide and denosumab for osteoporosis.</w:t>
      </w:r>
    </w:p>
    <w:p w:rsidR="00BC1083" w:rsidRDefault="00BC1083" w:rsidP="00BC1083">
      <w:pPr>
        <w:pStyle w:val="ListParagraph"/>
        <w:numPr>
          <w:ilvl w:val="0"/>
          <w:numId w:val="21"/>
        </w:numPr>
        <w:shd w:val="pct15" w:color="auto" w:fill="auto"/>
        <w:tabs>
          <w:tab w:val="left" w:pos="360"/>
        </w:tabs>
        <w:spacing w:after="0" w:line="240" w:lineRule="auto"/>
        <w:ind w:left="360"/>
        <w:rPr>
          <w:rFonts w:ascii="Arial" w:hAnsi="Arial" w:cs="Arial"/>
          <w:sz w:val="20"/>
        </w:rPr>
      </w:pPr>
      <w:r>
        <w:rPr>
          <w:rFonts w:ascii="Arial" w:hAnsi="Arial" w:cs="Arial"/>
          <w:sz w:val="20"/>
        </w:rPr>
        <w:t>Emphasis on preferred use of hormone replacement (HRT) for osteoporosis in patients who are hypogonadal and of an age where HRT is not contraindicated.</w:t>
      </w:r>
    </w:p>
    <w:p w:rsidR="00BC1083" w:rsidRDefault="00BC1083" w:rsidP="00BC1083">
      <w:pPr>
        <w:pStyle w:val="ListParagraph"/>
        <w:numPr>
          <w:ilvl w:val="0"/>
          <w:numId w:val="21"/>
        </w:numPr>
        <w:shd w:val="pct15" w:color="auto" w:fill="auto"/>
        <w:tabs>
          <w:tab w:val="left" w:pos="360"/>
        </w:tabs>
        <w:spacing w:after="0" w:line="240" w:lineRule="auto"/>
        <w:ind w:left="360"/>
        <w:rPr>
          <w:rFonts w:ascii="Arial" w:hAnsi="Arial" w:cs="Arial"/>
          <w:sz w:val="20"/>
        </w:rPr>
      </w:pPr>
      <w:r>
        <w:rPr>
          <w:rFonts w:ascii="Arial" w:hAnsi="Arial" w:cs="Arial"/>
          <w:sz w:val="20"/>
        </w:rPr>
        <w:t>Added section on weight bearing exercise and management of vertebral compression fractures.</w:t>
      </w:r>
    </w:p>
    <w:p w:rsidR="00BC1083" w:rsidRPr="000827E2" w:rsidRDefault="00BC1083" w:rsidP="00BC1083">
      <w:pPr>
        <w:pStyle w:val="ListParagraph"/>
        <w:numPr>
          <w:ilvl w:val="0"/>
          <w:numId w:val="21"/>
        </w:numPr>
        <w:shd w:val="pct15" w:color="auto" w:fill="auto"/>
        <w:tabs>
          <w:tab w:val="left" w:pos="360"/>
        </w:tabs>
        <w:spacing w:after="0" w:line="240" w:lineRule="auto"/>
        <w:ind w:left="360"/>
        <w:rPr>
          <w:rFonts w:ascii="Arial" w:hAnsi="Arial" w:cs="Arial"/>
          <w:sz w:val="20"/>
        </w:rPr>
      </w:pPr>
      <w:r>
        <w:rPr>
          <w:rFonts w:ascii="Arial" w:hAnsi="Arial" w:cs="Arial"/>
          <w:sz w:val="20"/>
        </w:rPr>
        <w:t>Clarified the definition of osteoporosis in pediatrics and the generally higher threshold for bisphosphonate therapy.</w:t>
      </w:r>
    </w:p>
    <w:p w:rsidR="00BC1083" w:rsidRDefault="00BC1083" w:rsidP="00BC1083">
      <w:pPr>
        <w:shd w:val="pct15" w:color="auto" w:fill="auto"/>
        <w:tabs>
          <w:tab w:val="left" w:pos="360"/>
        </w:tabs>
        <w:ind w:left="360" w:hanging="360"/>
        <w:rPr>
          <w:rFonts w:ascii="Arial" w:hAnsi="Arial" w:cs="Arial"/>
          <w:sz w:val="20"/>
        </w:rPr>
      </w:pPr>
    </w:p>
    <w:p w:rsidR="00BC1083" w:rsidRPr="00B510E8" w:rsidRDefault="00BC1083" w:rsidP="00BC1083">
      <w:pPr>
        <w:shd w:val="pct15" w:color="auto" w:fill="auto"/>
        <w:tabs>
          <w:tab w:val="left" w:pos="360"/>
        </w:tabs>
        <w:rPr>
          <w:rFonts w:ascii="Arial" w:hAnsi="Arial" w:cs="Arial"/>
          <w:b/>
          <w:i/>
          <w:sz w:val="20"/>
        </w:rPr>
      </w:pPr>
      <w:r w:rsidRPr="00B510E8">
        <w:rPr>
          <w:rFonts w:ascii="Arial" w:hAnsi="Arial" w:cs="Arial"/>
          <w:b/>
          <w:i/>
          <w:sz w:val="20"/>
        </w:rPr>
        <w:lastRenderedPageBreak/>
        <w:t>Psychosocial:</w:t>
      </w:r>
    </w:p>
    <w:p w:rsidR="00BC1083" w:rsidRPr="00E54078" w:rsidRDefault="00BC1083" w:rsidP="00BC1083">
      <w:pPr>
        <w:pStyle w:val="ListParagraph"/>
        <w:numPr>
          <w:ilvl w:val="0"/>
          <w:numId w:val="22"/>
        </w:numPr>
        <w:shd w:val="pct15" w:color="auto" w:fill="auto"/>
        <w:tabs>
          <w:tab w:val="left" w:pos="360"/>
        </w:tabs>
        <w:spacing w:after="0" w:line="240" w:lineRule="auto"/>
        <w:ind w:left="360"/>
        <w:rPr>
          <w:rFonts w:ascii="Arial" w:hAnsi="Arial" w:cs="Arial"/>
          <w:sz w:val="20"/>
        </w:rPr>
      </w:pPr>
      <w:r w:rsidRPr="00E54078">
        <w:rPr>
          <w:rFonts w:ascii="Arial" w:hAnsi="Arial" w:cs="Arial"/>
          <w:sz w:val="20"/>
        </w:rPr>
        <w:t>Extensive rewrite of the four sections with expansion of the “Fatigue” section to include “Musculoskeletal Symptoms” (non-overlapping with #9 above) and a new section on “</w:t>
      </w:r>
      <w:r>
        <w:rPr>
          <w:rFonts w:ascii="Arial" w:hAnsi="Arial" w:cs="Arial"/>
          <w:sz w:val="20"/>
        </w:rPr>
        <w:t xml:space="preserve">Behavioral Interventions” that is introduced by first acknowledging the often under-recognized </w:t>
      </w:r>
      <w:r w:rsidRPr="00E54078">
        <w:rPr>
          <w:rFonts w:ascii="Arial" w:hAnsi="Arial"/>
          <w:sz w:val="20"/>
        </w:rPr>
        <w:t xml:space="preserve">psychological, functional or adjustment difficulties </w:t>
      </w:r>
      <w:r>
        <w:rPr>
          <w:rFonts w:ascii="Arial" w:hAnsi="Arial"/>
          <w:sz w:val="20"/>
        </w:rPr>
        <w:t>among HCT survivors</w:t>
      </w:r>
      <w:r w:rsidRPr="00E54078">
        <w:rPr>
          <w:rFonts w:ascii="Arial" w:hAnsi="Arial" w:cs="Arial"/>
          <w:sz w:val="20"/>
        </w:rPr>
        <w:t xml:space="preserve">. </w:t>
      </w:r>
    </w:p>
    <w:p w:rsidR="00BC1083" w:rsidRDefault="00BC1083" w:rsidP="00BC1083">
      <w:pPr>
        <w:pStyle w:val="ListParagraph"/>
        <w:numPr>
          <w:ilvl w:val="0"/>
          <w:numId w:val="22"/>
        </w:numPr>
        <w:shd w:val="pct15" w:color="auto" w:fill="auto"/>
        <w:tabs>
          <w:tab w:val="left" w:pos="360"/>
        </w:tabs>
        <w:spacing w:after="0" w:line="240" w:lineRule="auto"/>
        <w:ind w:left="360"/>
        <w:rPr>
          <w:rFonts w:ascii="Arial" w:hAnsi="Arial" w:cs="Arial"/>
          <w:sz w:val="20"/>
        </w:rPr>
      </w:pPr>
      <w:r>
        <w:rPr>
          <w:rFonts w:ascii="Arial" w:hAnsi="Arial" w:cs="Arial"/>
          <w:sz w:val="20"/>
        </w:rPr>
        <w:t>New data highlight the importance of suicide being 3-fold higher than the HCT population in general, which in turn is higher than the general population – strengthening the recommendation to screen for depression.</w:t>
      </w:r>
    </w:p>
    <w:p w:rsidR="00BC1083" w:rsidRDefault="00BC1083" w:rsidP="00BC1083">
      <w:pPr>
        <w:pStyle w:val="ListParagraph"/>
        <w:numPr>
          <w:ilvl w:val="0"/>
          <w:numId w:val="22"/>
        </w:numPr>
        <w:shd w:val="pct15" w:color="auto" w:fill="auto"/>
        <w:tabs>
          <w:tab w:val="left" w:pos="360"/>
        </w:tabs>
        <w:spacing w:after="0" w:line="240" w:lineRule="auto"/>
        <w:ind w:left="360"/>
        <w:rPr>
          <w:rFonts w:ascii="Arial" w:hAnsi="Arial" w:cs="Arial"/>
          <w:sz w:val="20"/>
        </w:rPr>
      </w:pPr>
      <w:r>
        <w:rPr>
          <w:rFonts w:ascii="Arial" w:hAnsi="Arial" w:cs="Arial"/>
          <w:sz w:val="20"/>
        </w:rPr>
        <w:t>New data about the natural history of sexual dysfunction among post-HCT survivors are incorporated including management suggestions.</w:t>
      </w:r>
    </w:p>
    <w:p w:rsidR="00BC1083" w:rsidRDefault="00BC1083" w:rsidP="00BC1083">
      <w:pPr>
        <w:pStyle w:val="ListParagraph"/>
        <w:numPr>
          <w:ilvl w:val="0"/>
          <w:numId w:val="22"/>
        </w:numPr>
        <w:shd w:val="pct15" w:color="auto" w:fill="auto"/>
        <w:tabs>
          <w:tab w:val="left" w:pos="360"/>
        </w:tabs>
        <w:spacing w:after="0" w:line="240" w:lineRule="auto"/>
        <w:ind w:left="360"/>
        <w:rPr>
          <w:rFonts w:ascii="Arial" w:hAnsi="Arial" w:cs="Arial"/>
          <w:sz w:val="20"/>
        </w:rPr>
      </w:pPr>
      <w:r>
        <w:rPr>
          <w:rFonts w:ascii="Arial" w:hAnsi="Arial" w:cs="Arial"/>
          <w:sz w:val="20"/>
        </w:rPr>
        <w:t>New data are included with hyperlink to NCCN Guidelines to address fatigue and its management with exercise and cognitive behavioral interventions.</w:t>
      </w:r>
    </w:p>
    <w:p w:rsidR="00BC1083" w:rsidRPr="00E54078" w:rsidRDefault="00BC1083" w:rsidP="00BC1083">
      <w:pPr>
        <w:pStyle w:val="ListParagraph"/>
        <w:numPr>
          <w:ilvl w:val="0"/>
          <w:numId w:val="22"/>
        </w:numPr>
        <w:shd w:val="pct15" w:color="auto" w:fill="auto"/>
        <w:tabs>
          <w:tab w:val="left" w:pos="360"/>
        </w:tabs>
        <w:spacing w:after="0" w:line="240" w:lineRule="auto"/>
        <w:ind w:left="360"/>
        <w:rPr>
          <w:rFonts w:ascii="Arial" w:hAnsi="Arial" w:cs="Arial"/>
          <w:sz w:val="20"/>
        </w:rPr>
      </w:pPr>
      <w:r>
        <w:rPr>
          <w:rFonts w:ascii="Arial" w:hAnsi="Arial" w:cs="Arial"/>
          <w:sz w:val="20"/>
        </w:rPr>
        <w:t xml:space="preserve">More aggressive neuropsychological screening is proposed for children and, more controversially, for adults given the under-recognition of cognitive problems after transplantation. </w:t>
      </w:r>
    </w:p>
    <w:p w:rsidR="00BC1083" w:rsidRDefault="00BC1083" w:rsidP="00A86347">
      <w:pPr>
        <w:spacing w:after="0" w:line="360" w:lineRule="auto"/>
        <w:rPr>
          <w:rFonts w:ascii="Arial" w:hAnsi="Arial" w:cs="Arial"/>
          <w:b/>
          <w:bCs/>
        </w:rPr>
      </w:pPr>
    </w:p>
    <w:p w:rsidR="00BC1083" w:rsidRDefault="00BC1083">
      <w:pPr>
        <w:rPr>
          <w:rFonts w:ascii="Arial" w:hAnsi="Arial" w:cs="Arial"/>
          <w:b/>
          <w:bCs/>
        </w:rPr>
      </w:pPr>
      <w:r>
        <w:rPr>
          <w:rFonts w:ascii="Arial" w:hAnsi="Arial" w:cs="Arial"/>
          <w:b/>
          <w:bCs/>
        </w:rPr>
        <w:br w:type="page"/>
      </w:r>
    </w:p>
    <w:p w:rsidR="001E6573" w:rsidRDefault="00BC1083" w:rsidP="00A86347">
      <w:pPr>
        <w:spacing w:after="0" w:line="360" w:lineRule="auto"/>
        <w:rPr>
          <w:rFonts w:ascii="Arial" w:hAnsi="Arial" w:cs="Arial"/>
          <w:b/>
          <w:bCs/>
          <w:sz w:val="24"/>
        </w:rPr>
      </w:pPr>
      <w:r w:rsidRPr="002C0B1C">
        <w:rPr>
          <w:rFonts w:ascii="Arial" w:hAnsi="Arial" w:cs="Arial"/>
          <w:b/>
          <w:bCs/>
          <w:sz w:val="24"/>
        </w:rPr>
        <w:lastRenderedPageBreak/>
        <w:t xml:space="preserve">Supplement 2 - </w:t>
      </w:r>
      <w:r w:rsidR="00017CA9" w:rsidRPr="002C0B1C">
        <w:rPr>
          <w:rFonts w:ascii="Arial" w:hAnsi="Arial" w:cs="Arial"/>
          <w:b/>
          <w:bCs/>
          <w:sz w:val="24"/>
        </w:rPr>
        <w:t xml:space="preserve">Specific Dispensary Directions </w:t>
      </w:r>
      <w:r w:rsidR="001E6573">
        <w:rPr>
          <w:rFonts w:ascii="Arial" w:hAnsi="Arial" w:cs="Arial"/>
          <w:b/>
          <w:bCs/>
          <w:sz w:val="24"/>
        </w:rPr>
        <w:t>for Skin and Appendages</w:t>
      </w:r>
    </w:p>
    <w:p w:rsidR="001E6573" w:rsidRDefault="001E6573" w:rsidP="00A86347">
      <w:pPr>
        <w:spacing w:after="0" w:line="360" w:lineRule="auto"/>
        <w:rPr>
          <w:rFonts w:ascii="Arial" w:hAnsi="Arial" w:cs="Arial"/>
          <w:b/>
          <w:bCs/>
          <w:sz w:val="24"/>
        </w:rPr>
      </w:pPr>
    </w:p>
    <w:p w:rsidR="00017CA9" w:rsidRPr="00A86347" w:rsidRDefault="00017CA9" w:rsidP="00A86347">
      <w:pPr>
        <w:spacing w:after="0" w:line="360" w:lineRule="auto"/>
        <w:rPr>
          <w:rFonts w:ascii="Arial" w:hAnsi="Arial" w:cs="Arial"/>
          <w:bCs/>
        </w:rPr>
      </w:pPr>
      <w:r w:rsidRPr="00A86347">
        <w:rPr>
          <w:rFonts w:ascii="Arial" w:hAnsi="Arial" w:cs="Arial"/>
          <w:bCs/>
        </w:rPr>
        <w:t>In general, topical steroids should not be used continuously for more than 14-21 days in order to avoid tachyphylaxis</w:t>
      </w:r>
      <w:r w:rsidR="00277E32" w:rsidRPr="00A86347">
        <w:rPr>
          <w:rFonts w:ascii="Arial" w:hAnsi="Arial" w:cs="Arial"/>
          <w:bCs/>
        </w:rPr>
        <w:t>.  After</w:t>
      </w:r>
      <w:r w:rsidRPr="00A86347">
        <w:rPr>
          <w:rFonts w:ascii="Arial" w:hAnsi="Arial" w:cs="Arial"/>
          <w:bCs/>
        </w:rPr>
        <w:t xml:space="preserve"> the 14-21 day burst, application should be decreased to twice daily on weekends.  Bursts may be repeated every 4-6 weeks as needed (twice daily for 2 weeks)</w:t>
      </w:r>
      <w:r w:rsidR="00277E32" w:rsidRPr="00A86347">
        <w:rPr>
          <w:rFonts w:ascii="Arial" w:hAnsi="Arial" w:cs="Arial"/>
          <w:bCs/>
        </w:rPr>
        <w:t>.</w:t>
      </w:r>
      <w:r w:rsidRPr="00A86347">
        <w:rPr>
          <w:rFonts w:ascii="Arial" w:hAnsi="Arial" w:cs="Arial"/>
          <w:bCs/>
        </w:rPr>
        <w:t xml:space="preserve"> </w:t>
      </w:r>
    </w:p>
    <w:p w:rsidR="00D47E6F" w:rsidRDefault="00D47E6F" w:rsidP="00A86347">
      <w:pPr>
        <w:spacing w:after="0" w:line="360" w:lineRule="auto"/>
        <w:rPr>
          <w:rFonts w:ascii="Arial" w:hAnsi="Arial" w:cs="Arial"/>
          <w:b/>
          <w:bCs/>
        </w:rPr>
      </w:pPr>
    </w:p>
    <w:p w:rsidR="00277E32" w:rsidRPr="00A86347" w:rsidRDefault="001145E7" w:rsidP="00A86347">
      <w:pPr>
        <w:spacing w:after="0" w:line="360" w:lineRule="auto"/>
        <w:rPr>
          <w:rFonts w:ascii="Arial" w:hAnsi="Arial" w:cs="Arial"/>
          <w:b/>
          <w:bCs/>
        </w:rPr>
      </w:pPr>
      <w:r w:rsidRPr="00A86347">
        <w:rPr>
          <w:rFonts w:ascii="Arial" w:hAnsi="Arial" w:cs="Arial"/>
          <w:b/>
          <w:bCs/>
        </w:rPr>
        <w:t xml:space="preserve">Steroid </w:t>
      </w:r>
      <w:r w:rsidR="00277E32" w:rsidRPr="00A86347">
        <w:rPr>
          <w:rFonts w:ascii="Arial" w:hAnsi="Arial" w:cs="Arial"/>
          <w:b/>
          <w:bCs/>
        </w:rPr>
        <w:t>Formulation Considerations:</w:t>
      </w:r>
    </w:p>
    <w:tbl>
      <w:tblPr>
        <w:tblStyle w:val="TableGrid"/>
        <w:tblW w:w="0" w:type="auto"/>
        <w:tblLook w:val="04A0" w:firstRow="1" w:lastRow="0" w:firstColumn="1" w:lastColumn="0" w:noHBand="0" w:noVBand="1"/>
      </w:tblPr>
      <w:tblGrid>
        <w:gridCol w:w="1818"/>
        <w:gridCol w:w="7758"/>
      </w:tblGrid>
      <w:tr w:rsidR="00277E32" w:rsidRPr="00A86347">
        <w:tc>
          <w:tcPr>
            <w:tcW w:w="1818" w:type="dxa"/>
          </w:tcPr>
          <w:p w:rsidR="00277E32" w:rsidRPr="00A86347" w:rsidRDefault="00277E32" w:rsidP="00A86347">
            <w:pPr>
              <w:spacing w:line="360" w:lineRule="auto"/>
              <w:rPr>
                <w:rFonts w:ascii="Arial" w:hAnsi="Arial" w:cs="Arial"/>
                <w:bCs/>
              </w:rPr>
            </w:pPr>
            <w:r w:rsidRPr="00A86347">
              <w:rPr>
                <w:rFonts w:ascii="Arial" w:hAnsi="Arial" w:cs="Arial"/>
                <w:bCs/>
              </w:rPr>
              <w:t>Ointment</w:t>
            </w:r>
          </w:p>
        </w:tc>
        <w:tc>
          <w:tcPr>
            <w:tcW w:w="7758" w:type="dxa"/>
          </w:tcPr>
          <w:p w:rsidR="00277E32" w:rsidRPr="00A86347" w:rsidRDefault="00277E32" w:rsidP="00A86347">
            <w:pPr>
              <w:pStyle w:val="ListParagraph"/>
              <w:numPr>
                <w:ilvl w:val="0"/>
                <w:numId w:val="1"/>
              </w:numPr>
              <w:spacing w:line="360" w:lineRule="auto"/>
              <w:rPr>
                <w:rFonts w:ascii="Arial" w:hAnsi="Arial" w:cs="Arial"/>
                <w:bCs/>
              </w:rPr>
            </w:pPr>
            <w:r w:rsidRPr="00A86347">
              <w:rPr>
                <w:rFonts w:ascii="Arial" w:hAnsi="Arial" w:cs="Arial"/>
                <w:bCs/>
              </w:rPr>
              <w:t>Generally more potent due to occlusive nature</w:t>
            </w:r>
          </w:p>
          <w:p w:rsidR="00277E32" w:rsidRPr="00A86347" w:rsidRDefault="00277E32" w:rsidP="00A86347">
            <w:pPr>
              <w:pStyle w:val="ListParagraph"/>
              <w:numPr>
                <w:ilvl w:val="0"/>
                <w:numId w:val="1"/>
              </w:numPr>
              <w:spacing w:line="360" w:lineRule="auto"/>
              <w:rPr>
                <w:rFonts w:ascii="Arial" w:hAnsi="Arial" w:cs="Arial"/>
                <w:bCs/>
              </w:rPr>
            </w:pPr>
            <w:r w:rsidRPr="00A86347">
              <w:rPr>
                <w:rFonts w:ascii="Arial" w:hAnsi="Arial" w:cs="Arial"/>
                <w:bCs/>
              </w:rPr>
              <w:t>Most lubricating, but greasy</w:t>
            </w:r>
          </w:p>
          <w:p w:rsidR="00277E32" w:rsidRPr="00A86347" w:rsidRDefault="004C67BC" w:rsidP="00A86347">
            <w:pPr>
              <w:pStyle w:val="ListParagraph"/>
              <w:numPr>
                <w:ilvl w:val="0"/>
                <w:numId w:val="1"/>
              </w:numPr>
              <w:spacing w:line="360" w:lineRule="auto"/>
              <w:rPr>
                <w:rFonts w:ascii="Arial" w:hAnsi="Arial" w:cs="Arial"/>
                <w:bCs/>
              </w:rPr>
            </w:pPr>
            <w:r w:rsidRPr="00A86347">
              <w:rPr>
                <w:rFonts w:ascii="Arial" w:hAnsi="Arial" w:cs="Arial"/>
                <w:bCs/>
              </w:rPr>
              <w:t>Limited use in intertriginous areas</w:t>
            </w:r>
          </w:p>
          <w:p w:rsidR="004C67BC" w:rsidRPr="00A86347" w:rsidRDefault="004C67BC" w:rsidP="00A86347">
            <w:pPr>
              <w:pStyle w:val="ListParagraph"/>
              <w:numPr>
                <w:ilvl w:val="0"/>
                <w:numId w:val="1"/>
              </w:numPr>
              <w:spacing w:line="360" w:lineRule="auto"/>
              <w:rPr>
                <w:rFonts w:ascii="Arial" w:hAnsi="Arial" w:cs="Arial"/>
                <w:bCs/>
              </w:rPr>
            </w:pPr>
            <w:r w:rsidRPr="00A86347">
              <w:rPr>
                <w:rFonts w:ascii="Arial" w:hAnsi="Arial" w:cs="Arial"/>
                <w:bCs/>
              </w:rPr>
              <w:t>Generally least acceptable preparation by patients</w:t>
            </w:r>
          </w:p>
        </w:tc>
      </w:tr>
      <w:tr w:rsidR="00277E32" w:rsidRPr="00A86347">
        <w:tc>
          <w:tcPr>
            <w:tcW w:w="1818" w:type="dxa"/>
          </w:tcPr>
          <w:p w:rsidR="00277E32" w:rsidRPr="00A86347" w:rsidRDefault="004C67BC" w:rsidP="00A86347">
            <w:pPr>
              <w:spacing w:line="360" w:lineRule="auto"/>
              <w:rPr>
                <w:rFonts w:ascii="Arial" w:hAnsi="Arial" w:cs="Arial"/>
                <w:bCs/>
              </w:rPr>
            </w:pPr>
            <w:r w:rsidRPr="00A86347">
              <w:rPr>
                <w:rFonts w:ascii="Arial" w:hAnsi="Arial" w:cs="Arial"/>
                <w:bCs/>
              </w:rPr>
              <w:t>Cream</w:t>
            </w:r>
          </w:p>
        </w:tc>
        <w:tc>
          <w:tcPr>
            <w:tcW w:w="7758" w:type="dxa"/>
          </w:tcPr>
          <w:p w:rsidR="00BD0664" w:rsidRPr="00A86347" w:rsidRDefault="00BD0664" w:rsidP="00A86347">
            <w:pPr>
              <w:pStyle w:val="ListParagraph"/>
              <w:numPr>
                <w:ilvl w:val="0"/>
                <w:numId w:val="2"/>
              </w:numPr>
              <w:spacing w:line="360" w:lineRule="auto"/>
              <w:rPr>
                <w:rFonts w:ascii="Arial" w:hAnsi="Arial" w:cs="Arial"/>
                <w:bCs/>
              </w:rPr>
            </w:pPr>
            <w:r w:rsidRPr="00A86347">
              <w:rPr>
                <w:rFonts w:ascii="Arial" w:hAnsi="Arial" w:cs="Arial"/>
                <w:bCs/>
              </w:rPr>
              <w:t xml:space="preserve">May contain preservatives that can cause further irritation </w:t>
            </w:r>
          </w:p>
          <w:p w:rsidR="00BD0664" w:rsidRPr="00A86347" w:rsidRDefault="00BD0664" w:rsidP="00A86347">
            <w:pPr>
              <w:pStyle w:val="ListParagraph"/>
              <w:numPr>
                <w:ilvl w:val="0"/>
                <w:numId w:val="2"/>
              </w:numPr>
              <w:spacing w:line="360" w:lineRule="auto"/>
              <w:rPr>
                <w:rFonts w:ascii="Arial" w:hAnsi="Arial" w:cs="Arial"/>
                <w:bCs/>
              </w:rPr>
            </w:pPr>
            <w:r w:rsidRPr="00A86347">
              <w:rPr>
                <w:rFonts w:ascii="Arial" w:hAnsi="Arial" w:cs="Arial"/>
                <w:bCs/>
              </w:rPr>
              <w:t>Can be used in intertriginous areas</w:t>
            </w:r>
          </w:p>
          <w:p w:rsidR="00BD0664" w:rsidRPr="00A86347" w:rsidRDefault="00BD0664" w:rsidP="00A86347">
            <w:pPr>
              <w:pStyle w:val="ListParagraph"/>
              <w:numPr>
                <w:ilvl w:val="0"/>
                <w:numId w:val="2"/>
              </w:numPr>
              <w:spacing w:line="360" w:lineRule="auto"/>
              <w:rPr>
                <w:rFonts w:ascii="Arial" w:hAnsi="Arial" w:cs="Arial"/>
                <w:bCs/>
              </w:rPr>
            </w:pPr>
            <w:r w:rsidRPr="00A86347">
              <w:rPr>
                <w:rFonts w:ascii="Arial" w:hAnsi="Arial" w:cs="Arial"/>
                <w:bCs/>
              </w:rPr>
              <w:t>May have drying effect</w:t>
            </w:r>
          </w:p>
          <w:p w:rsidR="00BD0664" w:rsidRPr="00A86347" w:rsidRDefault="00BD0664" w:rsidP="00A86347">
            <w:pPr>
              <w:pStyle w:val="ListParagraph"/>
              <w:numPr>
                <w:ilvl w:val="0"/>
                <w:numId w:val="2"/>
              </w:numPr>
              <w:spacing w:line="360" w:lineRule="auto"/>
              <w:rPr>
                <w:rFonts w:ascii="Arial" w:hAnsi="Arial" w:cs="Arial"/>
                <w:bCs/>
              </w:rPr>
            </w:pPr>
            <w:r w:rsidRPr="00A86347">
              <w:rPr>
                <w:rFonts w:ascii="Arial" w:hAnsi="Arial" w:cs="Arial"/>
                <w:bCs/>
              </w:rPr>
              <w:t>Quick absorbing and better tolerated by patients</w:t>
            </w:r>
          </w:p>
        </w:tc>
      </w:tr>
      <w:tr w:rsidR="00277E32" w:rsidRPr="00A86347">
        <w:tc>
          <w:tcPr>
            <w:tcW w:w="1818" w:type="dxa"/>
          </w:tcPr>
          <w:p w:rsidR="00277E32" w:rsidRPr="00A86347" w:rsidRDefault="00BD0664" w:rsidP="00A86347">
            <w:pPr>
              <w:spacing w:line="360" w:lineRule="auto"/>
              <w:rPr>
                <w:rFonts w:ascii="Arial" w:hAnsi="Arial" w:cs="Arial"/>
                <w:bCs/>
              </w:rPr>
            </w:pPr>
            <w:r w:rsidRPr="00A86347">
              <w:rPr>
                <w:rFonts w:ascii="Arial" w:hAnsi="Arial" w:cs="Arial"/>
                <w:bCs/>
              </w:rPr>
              <w:t>Lotion</w:t>
            </w:r>
          </w:p>
        </w:tc>
        <w:tc>
          <w:tcPr>
            <w:tcW w:w="7758" w:type="dxa"/>
          </w:tcPr>
          <w:p w:rsidR="00277E32" w:rsidRPr="00A86347" w:rsidRDefault="00BD0664" w:rsidP="00A86347">
            <w:pPr>
              <w:pStyle w:val="ListParagraph"/>
              <w:numPr>
                <w:ilvl w:val="0"/>
                <w:numId w:val="3"/>
              </w:numPr>
              <w:spacing w:line="360" w:lineRule="auto"/>
              <w:rPr>
                <w:rFonts w:ascii="Arial" w:hAnsi="Arial" w:cs="Arial"/>
                <w:bCs/>
              </w:rPr>
            </w:pPr>
            <w:r w:rsidRPr="00A86347">
              <w:rPr>
                <w:rFonts w:ascii="Arial" w:hAnsi="Arial" w:cs="Arial"/>
                <w:bCs/>
              </w:rPr>
              <w:t>May contain alcohol which can cause further irritation</w:t>
            </w:r>
          </w:p>
          <w:p w:rsidR="00BD0664" w:rsidRPr="00A86347" w:rsidRDefault="00BD0664" w:rsidP="00A86347">
            <w:pPr>
              <w:pStyle w:val="ListParagraph"/>
              <w:numPr>
                <w:ilvl w:val="0"/>
                <w:numId w:val="3"/>
              </w:numPr>
              <w:spacing w:line="360" w:lineRule="auto"/>
              <w:rPr>
                <w:rFonts w:ascii="Arial" w:hAnsi="Arial" w:cs="Arial"/>
                <w:bCs/>
              </w:rPr>
            </w:pPr>
            <w:r w:rsidRPr="00A86347">
              <w:rPr>
                <w:rFonts w:ascii="Arial" w:hAnsi="Arial" w:cs="Arial"/>
                <w:bCs/>
              </w:rPr>
              <w:t>May be used in scalp or other hair covered areas</w:t>
            </w:r>
          </w:p>
          <w:p w:rsidR="00BD0664" w:rsidRPr="00A86347" w:rsidRDefault="00BD0664" w:rsidP="00A86347">
            <w:pPr>
              <w:pStyle w:val="ListParagraph"/>
              <w:numPr>
                <w:ilvl w:val="0"/>
                <w:numId w:val="3"/>
              </w:numPr>
              <w:spacing w:line="360" w:lineRule="auto"/>
              <w:rPr>
                <w:rFonts w:ascii="Arial" w:hAnsi="Arial" w:cs="Arial"/>
                <w:bCs/>
              </w:rPr>
            </w:pPr>
            <w:r w:rsidRPr="00A86347">
              <w:rPr>
                <w:rFonts w:ascii="Arial" w:hAnsi="Arial" w:cs="Arial"/>
                <w:bCs/>
              </w:rPr>
              <w:t>Typically has drying effect</w:t>
            </w:r>
          </w:p>
        </w:tc>
      </w:tr>
      <w:tr w:rsidR="00277E32" w:rsidRPr="00A86347">
        <w:tc>
          <w:tcPr>
            <w:tcW w:w="1818" w:type="dxa"/>
          </w:tcPr>
          <w:p w:rsidR="00277E32" w:rsidRPr="00A86347" w:rsidRDefault="00BD0664" w:rsidP="00A86347">
            <w:pPr>
              <w:spacing w:line="360" w:lineRule="auto"/>
              <w:rPr>
                <w:rFonts w:ascii="Arial" w:hAnsi="Arial" w:cs="Arial"/>
                <w:bCs/>
              </w:rPr>
            </w:pPr>
            <w:r w:rsidRPr="00A86347">
              <w:rPr>
                <w:rFonts w:ascii="Arial" w:hAnsi="Arial" w:cs="Arial"/>
                <w:bCs/>
              </w:rPr>
              <w:t>Gel, solutions, spray, foam</w:t>
            </w:r>
          </w:p>
        </w:tc>
        <w:tc>
          <w:tcPr>
            <w:tcW w:w="7758" w:type="dxa"/>
          </w:tcPr>
          <w:p w:rsidR="00277E32" w:rsidRPr="00A86347" w:rsidRDefault="00BD0664" w:rsidP="00A86347">
            <w:pPr>
              <w:pStyle w:val="ListParagraph"/>
              <w:numPr>
                <w:ilvl w:val="0"/>
                <w:numId w:val="4"/>
              </w:numPr>
              <w:spacing w:line="360" w:lineRule="auto"/>
              <w:rPr>
                <w:rFonts w:ascii="Arial" w:hAnsi="Arial" w:cs="Arial"/>
                <w:bCs/>
              </w:rPr>
            </w:pPr>
            <w:r w:rsidRPr="00A86347">
              <w:rPr>
                <w:rFonts w:ascii="Arial" w:hAnsi="Arial" w:cs="Arial"/>
                <w:bCs/>
              </w:rPr>
              <w:t>Dry and absorb quickly</w:t>
            </w:r>
          </w:p>
          <w:p w:rsidR="00BD0664" w:rsidRPr="00A86347" w:rsidRDefault="00BD0664" w:rsidP="00A86347">
            <w:pPr>
              <w:pStyle w:val="ListParagraph"/>
              <w:numPr>
                <w:ilvl w:val="0"/>
                <w:numId w:val="4"/>
              </w:numPr>
              <w:spacing w:line="360" w:lineRule="auto"/>
              <w:rPr>
                <w:rFonts w:ascii="Arial" w:hAnsi="Arial" w:cs="Arial"/>
                <w:bCs/>
              </w:rPr>
            </w:pPr>
            <w:r w:rsidRPr="00A86347">
              <w:rPr>
                <w:rFonts w:ascii="Arial" w:hAnsi="Arial" w:cs="Arial"/>
                <w:bCs/>
              </w:rPr>
              <w:t>Useful in scalp and other hair covered areas</w:t>
            </w:r>
          </w:p>
          <w:p w:rsidR="00BD0664" w:rsidRPr="00A86347" w:rsidRDefault="00BD0664" w:rsidP="00A86347">
            <w:pPr>
              <w:pStyle w:val="ListParagraph"/>
              <w:numPr>
                <w:ilvl w:val="0"/>
                <w:numId w:val="4"/>
              </w:numPr>
              <w:spacing w:line="360" w:lineRule="auto"/>
              <w:rPr>
                <w:rFonts w:ascii="Arial" w:hAnsi="Arial" w:cs="Arial"/>
                <w:bCs/>
              </w:rPr>
            </w:pPr>
            <w:r w:rsidRPr="00A86347">
              <w:rPr>
                <w:rFonts w:ascii="Arial" w:hAnsi="Arial" w:cs="Arial"/>
                <w:bCs/>
              </w:rPr>
              <w:t>Often contain alcohol or propylene glycol which can be irritating</w:t>
            </w:r>
          </w:p>
          <w:p w:rsidR="00BD0664" w:rsidRPr="00A86347" w:rsidRDefault="00BD0664" w:rsidP="00A86347">
            <w:pPr>
              <w:pStyle w:val="ListParagraph"/>
              <w:numPr>
                <w:ilvl w:val="0"/>
                <w:numId w:val="4"/>
              </w:numPr>
              <w:spacing w:line="360" w:lineRule="auto"/>
              <w:rPr>
                <w:rFonts w:ascii="Arial" w:hAnsi="Arial" w:cs="Arial"/>
                <w:bCs/>
              </w:rPr>
            </w:pPr>
            <w:r w:rsidRPr="00A86347">
              <w:rPr>
                <w:rFonts w:ascii="Arial" w:hAnsi="Arial" w:cs="Arial"/>
                <w:bCs/>
              </w:rPr>
              <w:t>Most drying formulations</w:t>
            </w:r>
          </w:p>
        </w:tc>
      </w:tr>
    </w:tbl>
    <w:p w:rsidR="00277E32" w:rsidRPr="00A86347" w:rsidRDefault="00277E32" w:rsidP="00A86347">
      <w:pPr>
        <w:spacing w:after="0" w:line="360" w:lineRule="auto"/>
        <w:rPr>
          <w:rFonts w:ascii="Arial" w:hAnsi="Arial" w:cs="Arial"/>
          <w:b/>
          <w:bCs/>
        </w:rPr>
      </w:pPr>
    </w:p>
    <w:p w:rsidR="00BD0664" w:rsidRPr="00A86347" w:rsidRDefault="001145E7" w:rsidP="00A86347">
      <w:pPr>
        <w:spacing w:after="0" w:line="360" w:lineRule="auto"/>
        <w:rPr>
          <w:rFonts w:ascii="Arial" w:hAnsi="Arial" w:cs="Arial"/>
          <w:b/>
          <w:bCs/>
        </w:rPr>
      </w:pPr>
      <w:r w:rsidRPr="00A86347">
        <w:rPr>
          <w:rFonts w:ascii="Arial" w:hAnsi="Arial" w:cs="Arial"/>
          <w:b/>
          <w:bCs/>
        </w:rPr>
        <w:t xml:space="preserve">Steroid </w:t>
      </w:r>
      <w:r w:rsidR="00BD0664" w:rsidRPr="00A86347">
        <w:rPr>
          <w:rFonts w:ascii="Arial" w:hAnsi="Arial" w:cs="Arial"/>
          <w:b/>
          <w:bCs/>
        </w:rPr>
        <w:t>Potency Considerations:</w:t>
      </w:r>
    </w:p>
    <w:p w:rsidR="00BD0664" w:rsidRPr="00A86347" w:rsidRDefault="00BD0664" w:rsidP="00A86347">
      <w:pPr>
        <w:spacing w:after="0" w:line="360" w:lineRule="auto"/>
        <w:rPr>
          <w:rFonts w:ascii="Arial" w:hAnsi="Arial" w:cs="Arial"/>
          <w:bCs/>
        </w:rPr>
      </w:pPr>
      <w:r w:rsidRPr="00A86347">
        <w:rPr>
          <w:rFonts w:ascii="Arial" w:hAnsi="Arial" w:cs="Arial"/>
          <w:bCs/>
        </w:rPr>
        <w:t>Potency of steroid preparation is generally determined by vasoconstrictor assay</w:t>
      </w:r>
      <w:hyperlink w:anchor="_ENREF_1" w:tooltip="Cornell, 1985 #325" w:history="1">
        <w:r w:rsidR="00CB168C">
          <w:rPr>
            <w:rFonts w:ascii="Arial" w:hAnsi="Arial" w:cs="Arial"/>
            <w:bCs/>
          </w:rPr>
          <w:fldChar w:fldCharType="begin"/>
        </w:r>
        <w:r w:rsidR="00A7130E">
          <w:rPr>
            <w:rFonts w:ascii="Arial" w:hAnsi="Arial" w:cs="Arial"/>
            <w:bCs/>
          </w:rPr>
          <w:instrText xml:space="preserve"> ADDIN EN.CITE &lt;EndNote&gt;&lt;Cite&gt;&lt;Author&gt;Cornell&lt;/Author&gt;&lt;Year&gt;1985&lt;/Year&gt;&lt;RecNum&gt;325&lt;/RecNum&gt;&lt;DisplayText&gt;&lt;style face="superscript"&gt;1&lt;/style&gt;&lt;/DisplayText&gt;&lt;record&gt;&lt;rec-number&gt;325&lt;/rec-number&gt;&lt;foreign-keys&gt;&lt;key app="EN" db-id="v02952tzotxvtbetvxf5e9aifef5p5wrwrp2"&gt;325&lt;/key&gt;&lt;/foreign-keys&gt;&lt;ref-type name="Journal Article"&gt;17&lt;/ref-type&gt;&lt;contributors&gt;&lt;authors&gt;&lt;author&gt;Cornell, R. C.&lt;/author&gt;&lt;author&gt;Stoughton, R. B.&lt;/author&gt;&lt;/authors&gt;&lt;/contributors&gt;&lt;titles&gt;&lt;title&gt;Correlation of the vasoconstriction assay and clinical activity in psoriasis&lt;/title&gt;&lt;secondary-title&gt;Arch Dermatol&lt;/secondary-title&gt;&lt;alt-title&gt;Archives of dermatology&lt;/alt-title&gt;&lt;/titles&gt;&lt;periodical&gt;&lt;full-title&gt;Arch Dermatol&lt;/full-title&gt;&lt;abbr-1&gt;Archives of dermatology&lt;/abbr-1&gt;&lt;/periodical&gt;&lt;alt-periodical&gt;&lt;full-title&gt;Arch Dermatol&lt;/full-title&gt;&lt;abbr-1&gt;Archives of dermatology&lt;/abbr-1&gt;&lt;/alt-periodical&gt;&lt;pages&gt;63-7&lt;/pages&gt;&lt;volume&gt;121&lt;/volume&gt;&lt;number&gt;1&lt;/number&gt;&lt;edition&gt;1985/01/01&lt;/edition&gt;&lt;keywords&gt;&lt;keyword&gt;Administration, Topical&lt;/keyword&gt;&lt;keyword&gt;Adult&lt;/keyword&gt;&lt;keyword&gt;Anti-Inflammatory Agents/*pharmacology&lt;/keyword&gt;&lt;keyword&gt;Clinical Trials as Topic&lt;/keyword&gt;&lt;keyword&gt;Double-Blind Method&lt;/keyword&gt;&lt;keyword&gt;Drug Evaluation/methods&lt;/keyword&gt;&lt;keyword&gt;Female&lt;/keyword&gt;&lt;keyword&gt;Glucocorticoids&lt;/keyword&gt;&lt;keyword&gt;Humans&lt;/keyword&gt;&lt;keyword&gt;Male&lt;/keyword&gt;&lt;keyword&gt;Psoriasis/*drug therapy&lt;/keyword&gt;&lt;keyword&gt;Random Allocation&lt;/keyword&gt;&lt;keyword&gt;Skin/*blood supply&lt;/keyword&gt;&lt;keyword&gt;Vasoconstriction/*drug effects&lt;/keyword&gt;&lt;/keywords&gt;&lt;dates&gt;&lt;year&gt;1985&lt;/year&gt;&lt;pub-dates&gt;&lt;date&gt;Jan&lt;/date&gt;&lt;/pub-dates&gt;&lt;/dates&gt;&lt;isbn&gt;0003-987X (Print)&amp;#xD;0003-987X (Linking)&lt;/isbn&gt;&lt;accession-num&gt;3881088&lt;/accession-num&gt;&lt;work-type&gt;Clinical Trial&amp;#xD;Randomized Controlled Trial&lt;/work-type&gt;&lt;urls&gt;&lt;related-urls&gt;&lt;url&gt;http://www.ncbi.nlm.nih.gov/pubmed/3881088&lt;/url&gt;&lt;/related-urls&gt;&lt;/urls&gt;&lt;language&gt;eng&lt;/language&gt;&lt;/record&gt;&lt;/Cite&gt;&lt;/EndNote&gt;</w:instrText>
        </w:r>
        <w:r w:rsidR="00CB168C">
          <w:rPr>
            <w:rFonts w:ascii="Arial" w:hAnsi="Arial" w:cs="Arial"/>
            <w:bCs/>
          </w:rPr>
          <w:fldChar w:fldCharType="separate"/>
        </w:r>
        <w:r w:rsidR="00A7130E" w:rsidRPr="003A00AF">
          <w:rPr>
            <w:rFonts w:ascii="Arial" w:hAnsi="Arial" w:cs="Arial"/>
            <w:bCs/>
            <w:noProof/>
            <w:vertAlign w:val="superscript"/>
          </w:rPr>
          <w:t>1</w:t>
        </w:r>
        <w:r w:rsidR="00CB168C">
          <w:rPr>
            <w:rFonts w:ascii="Arial" w:hAnsi="Arial" w:cs="Arial"/>
            <w:bCs/>
          </w:rPr>
          <w:fldChar w:fldCharType="end"/>
        </w:r>
      </w:hyperlink>
      <w:r w:rsidR="003A00AF">
        <w:rPr>
          <w:rFonts w:ascii="Arial" w:hAnsi="Arial" w:cs="Arial"/>
          <w:bCs/>
        </w:rPr>
        <w:t xml:space="preserve">. </w:t>
      </w:r>
    </w:p>
    <w:tbl>
      <w:tblPr>
        <w:tblStyle w:val="TableGrid"/>
        <w:tblW w:w="0" w:type="auto"/>
        <w:tblLook w:val="04A0" w:firstRow="1" w:lastRow="0" w:firstColumn="1" w:lastColumn="0" w:noHBand="0" w:noVBand="1"/>
      </w:tblPr>
      <w:tblGrid>
        <w:gridCol w:w="2088"/>
        <w:gridCol w:w="7488"/>
      </w:tblGrid>
      <w:tr w:rsidR="000340AB" w:rsidRPr="00A86347">
        <w:tc>
          <w:tcPr>
            <w:tcW w:w="2088" w:type="dxa"/>
          </w:tcPr>
          <w:p w:rsidR="000340AB" w:rsidRPr="00A86347" w:rsidRDefault="000340AB" w:rsidP="00A86347">
            <w:pPr>
              <w:spacing w:line="360" w:lineRule="auto"/>
              <w:rPr>
                <w:rFonts w:ascii="Arial" w:hAnsi="Arial" w:cs="Arial"/>
                <w:bCs/>
              </w:rPr>
            </w:pPr>
            <w:r w:rsidRPr="00A86347">
              <w:rPr>
                <w:rFonts w:ascii="Arial" w:hAnsi="Arial" w:cs="Arial"/>
                <w:bCs/>
              </w:rPr>
              <w:t>Super high and high potency</w:t>
            </w:r>
          </w:p>
        </w:tc>
        <w:tc>
          <w:tcPr>
            <w:tcW w:w="7488" w:type="dxa"/>
          </w:tcPr>
          <w:p w:rsidR="000340AB" w:rsidRPr="00A86347" w:rsidRDefault="000340AB" w:rsidP="00A86347">
            <w:pPr>
              <w:pStyle w:val="ListParagraph"/>
              <w:numPr>
                <w:ilvl w:val="0"/>
                <w:numId w:val="5"/>
              </w:numPr>
              <w:spacing w:line="360" w:lineRule="auto"/>
              <w:rPr>
                <w:rFonts w:ascii="Arial" w:hAnsi="Arial" w:cs="Arial"/>
                <w:bCs/>
              </w:rPr>
            </w:pPr>
            <w:r w:rsidRPr="00A86347">
              <w:rPr>
                <w:rFonts w:ascii="Arial" w:hAnsi="Arial" w:cs="Arial"/>
                <w:bCs/>
              </w:rPr>
              <w:t>Max dose 50 gm/wk</w:t>
            </w:r>
          </w:p>
          <w:p w:rsidR="000340AB" w:rsidRPr="00A86347" w:rsidRDefault="000340AB" w:rsidP="00A86347">
            <w:pPr>
              <w:pStyle w:val="ListParagraph"/>
              <w:numPr>
                <w:ilvl w:val="0"/>
                <w:numId w:val="5"/>
              </w:numPr>
              <w:spacing w:line="360" w:lineRule="auto"/>
              <w:rPr>
                <w:rFonts w:ascii="Arial" w:hAnsi="Arial" w:cs="Arial"/>
                <w:bCs/>
              </w:rPr>
            </w:pPr>
            <w:r w:rsidRPr="00A86347">
              <w:rPr>
                <w:rFonts w:ascii="Arial" w:hAnsi="Arial" w:cs="Arial"/>
                <w:bCs/>
              </w:rPr>
              <w:t>Cautious use in both children and elderly patients</w:t>
            </w:r>
          </w:p>
          <w:p w:rsidR="000340AB" w:rsidRPr="00A86347" w:rsidRDefault="000340AB" w:rsidP="00A86347">
            <w:pPr>
              <w:pStyle w:val="ListParagraph"/>
              <w:numPr>
                <w:ilvl w:val="0"/>
                <w:numId w:val="5"/>
              </w:numPr>
              <w:spacing w:line="360" w:lineRule="auto"/>
              <w:rPr>
                <w:rFonts w:ascii="Arial" w:hAnsi="Arial" w:cs="Arial"/>
                <w:bCs/>
              </w:rPr>
            </w:pPr>
            <w:r w:rsidRPr="00A86347">
              <w:rPr>
                <w:rFonts w:ascii="Arial" w:hAnsi="Arial" w:cs="Arial"/>
                <w:bCs/>
              </w:rPr>
              <w:t>Better for hyperkeratotic and lichenoid skin changes as well as thickened skin areas such as palms and soles</w:t>
            </w:r>
          </w:p>
          <w:p w:rsidR="000340AB" w:rsidRPr="00A86347" w:rsidRDefault="000340AB" w:rsidP="00A86347">
            <w:pPr>
              <w:pStyle w:val="ListParagraph"/>
              <w:numPr>
                <w:ilvl w:val="0"/>
                <w:numId w:val="5"/>
              </w:numPr>
              <w:spacing w:line="360" w:lineRule="auto"/>
              <w:rPr>
                <w:rFonts w:ascii="Arial" w:hAnsi="Arial" w:cs="Arial"/>
                <w:bCs/>
              </w:rPr>
            </w:pPr>
            <w:r w:rsidRPr="00A86347">
              <w:rPr>
                <w:rFonts w:ascii="Arial" w:hAnsi="Arial" w:cs="Arial"/>
                <w:bCs/>
              </w:rPr>
              <w:t>Avoid use on face or intertriginous areas</w:t>
            </w:r>
          </w:p>
        </w:tc>
      </w:tr>
      <w:tr w:rsidR="000340AB" w:rsidRPr="00A86347">
        <w:tc>
          <w:tcPr>
            <w:tcW w:w="2088" w:type="dxa"/>
          </w:tcPr>
          <w:p w:rsidR="000340AB" w:rsidRPr="00A86347" w:rsidRDefault="000340AB" w:rsidP="00A86347">
            <w:pPr>
              <w:spacing w:line="360" w:lineRule="auto"/>
              <w:rPr>
                <w:rFonts w:ascii="Arial" w:hAnsi="Arial" w:cs="Arial"/>
                <w:bCs/>
              </w:rPr>
            </w:pPr>
            <w:r w:rsidRPr="00A86347">
              <w:rPr>
                <w:rFonts w:ascii="Arial" w:hAnsi="Arial" w:cs="Arial"/>
                <w:bCs/>
              </w:rPr>
              <w:t>Medium and low potency</w:t>
            </w:r>
          </w:p>
        </w:tc>
        <w:tc>
          <w:tcPr>
            <w:tcW w:w="7488" w:type="dxa"/>
          </w:tcPr>
          <w:p w:rsidR="000340AB" w:rsidRPr="00A86347" w:rsidRDefault="000340AB" w:rsidP="00A86347">
            <w:pPr>
              <w:pStyle w:val="ListParagraph"/>
              <w:numPr>
                <w:ilvl w:val="0"/>
                <w:numId w:val="6"/>
              </w:numPr>
              <w:spacing w:line="360" w:lineRule="auto"/>
              <w:rPr>
                <w:rFonts w:ascii="Arial" w:hAnsi="Arial" w:cs="Arial"/>
                <w:bCs/>
              </w:rPr>
            </w:pPr>
            <w:r w:rsidRPr="00A86347">
              <w:rPr>
                <w:rFonts w:ascii="Arial" w:hAnsi="Arial" w:cs="Arial"/>
                <w:bCs/>
              </w:rPr>
              <w:t>Continuous use of low potency preparations is generally safe</w:t>
            </w:r>
          </w:p>
          <w:p w:rsidR="000340AB" w:rsidRPr="00A86347" w:rsidRDefault="000340AB" w:rsidP="00A86347">
            <w:pPr>
              <w:pStyle w:val="ListParagraph"/>
              <w:numPr>
                <w:ilvl w:val="0"/>
                <w:numId w:val="6"/>
              </w:numPr>
              <w:spacing w:line="360" w:lineRule="auto"/>
              <w:rPr>
                <w:rFonts w:ascii="Arial" w:hAnsi="Arial" w:cs="Arial"/>
                <w:bCs/>
              </w:rPr>
            </w:pPr>
            <w:r w:rsidRPr="00A86347">
              <w:rPr>
                <w:rFonts w:ascii="Arial" w:hAnsi="Arial" w:cs="Arial"/>
                <w:bCs/>
              </w:rPr>
              <w:t xml:space="preserve">Daily use of medium potency preparations for ~ 3 months is </w:t>
            </w:r>
            <w:r w:rsidRPr="00A86347">
              <w:rPr>
                <w:rFonts w:ascii="Arial" w:hAnsi="Arial" w:cs="Arial"/>
                <w:bCs/>
              </w:rPr>
              <w:lastRenderedPageBreak/>
              <w:t>generally safe.</w:t>
            </w:r>
          </w:p>
          <w:p w:rsidR="000340AB" w:rsidRPr="00A86347" w:rsidRDefault="000340AB" w:rsidP="00A86347">
            <w:pPr>
              <w:pStyle w:val="ListParagraph"/>
              <w:numPr>
                <w:ilvl w:val="0"/>
                <w:numId w:val="6"/>
              </w:numPr>
              <w:spacing w:line="360" w:lineRule="auto"/>
              <w:rPr>
                <w:rFonts w:ascii="Arial" w:hAnsi="Arial" w:cs="Arial"/>
                <w:bCs/>
              </w:rPr>
            </w:pPr>
            <w:r w:rsidRPr="00A86347">
              <w:rPr>
                <w:rFonts w:ascii="Arial" w:hAnsi="Arial" w:cs="Arial"/>
                <w:bCs/>
              </w:rPr>
              <w:t>OK to use on large body surface area</w:t>
            </w:r>
          </w:p>
          <w:p w:rsidR="000340AB" w:rsidRPr="00A86347" w:rsidRDefault="000340AB" w:rsidP="00A86347">
            <w:pPr>
              <w:pStyle w:val="ListParagraph"/>
              <w:numPr>
                <w:ilvl w:val="0"/>
                <w:numId w:val="6"/>
              </w:numPr>
              <w:spacing w:line="360" w:lineRule="auto"/>
              <w:rPr>
                <w:rFonts w:ascii="Arial" w:hAnsi="Arial" w:cs="Arial"/>
                <w:bCs/>
              </w:rPr>
            </w:pPr>
            <w:r w:rsidRPr="00A86347">
              <w:rPr>
                <w:rFonts w:ascii="Arial" w:hAnsi="Arial" w:cs="Arial"/>
                <w:bCs/>
              </w:rPr>
              <w:t>Preferred for face and intertriginous areas</w:t>
            </w:r>
          </w:p>
          <w:p w:rsidR="000340AB" w:rsidRPr="00A86347" w:rsidRDefault="000340AB" w:rsidP="00A86347">
            <w:pPr>
              <w:pStyle w:val="ListParagraph"/>
              <w:numPr>
                <w:ilvl w:val="0"/>
                <w:numId w:val="6"/>
              </w:numPr>
              <w:spacing w:line="360" w:lineRule="auto"/>
              <w:rPr>
                <w:rFonts w:ascii="Arial" w:hAnsi="Arial" w:cs="Arial"/>
                <w:bCs/>
              </w:rPr>
            </w:pPr>
            <w:r w:rsidRPr="00A86347">
              <w:rPr>
                <w:rFonts w:ascii="Arial" w:hAnsi="Arial" w:cs="Arial"/>
                <w:bCs/>
              </w:rPr>
              <w:t>Preferred for children and the elderly</w:t>
            </w:r>
          </w:p>
        </w:tc>
      </w:tr>
    </w:tbl>
    <w:p w:rsidR="000340AB" w:rsidRPr="00A86347" w:rsidRDefault="000340AB" w:rsidP="00A86347">
      <w:pPr>
        <w:spacing w:after="0" w:line="360" w:lineRule="auto"/>
        <w:rPr>
          <w:rFonts w:ascii="Arial" w:hAnsi="Arial" w:cs="Arial"/>
          <w:bCs/>
        </w:rPr>
      </w:pPr>
    </w:p>
    <w:tbl>
      <w:tblPr>
        <w:tblStyle w:val="TableGrid"/>
        <w:tblW w:w="0" w:type="auto"/>
        <w:tblLook w:val="04A0" w:firstRow="1" w:lastRow="0" w:firstColumn="1" w:lastColumn="0" w:noHBand="0" w:noVBand="1"/>
      </w:tblPr>
      <w:tblGrid>
        <w:gridCol w:w="3078"/>
        <w:gridCol w:w="1980"/>
        <w:gridCol w:w="2340"/>
        <w:gridCol w:w="2178"/>
      </w:tblGrid>
      <w:tr w:rsidR="00EF0506" w:rsidRPr="00A86347">
        <w:tc>
          <w:tcPr>
            <w:tcW w:w="3078" w:type="dxa"/>
          </w:tcPr>
          <w:p w:rsidR="00EF0506" w:rsidRPr="00A86347" w:rsidRDefault="00EF0506" w:rsidP="00A86347">
            <w:pPr>
              <w:spacing w:line="360" w:lineRule="auto"/>
              <w:rPr>
                <w:rFonts w:ascii="Arial" w:hAnsi="Arial" w:cs="Arial"/>
                <w:bCs/>
              </w:rPr>
            </w:pPr>
            <w:r w:rsidRPr="00A86347">
              <w:rPr>
                <w:rFonts w:ascii="Arial" w:hAnsi="Arial" w:cs="Arial"/>
                <w:bCs/>
              </w:rPr>
              <w:t>Drug Name</w:t>
            </w:r>
          </w:p>
        </w:tc>
        <w:tc>
          <w:tcPr>
            <w:tcW w:w="1980" w:type="dxa"/>
          </w:tcPr>
          <w:p w:rsidR="00EF0506" w:rsidRPr="00A86347" w:rsidRDefault="00EF0506" w:rsidP="00A86347">
            <w:pPr>
              <w:spacing w:line="360" w:lineRule="auto"/>
              <w:rPr>
                <w:rFonts w:ascii="Arial" w:hAnsi="Arial" w:cs="Arial"/>
                <w:bCs/>
              </w:rPr>
            </w:pPr>
            <w:r w:rsidRPr="00A86347">
              <w:rPr>
                <w:rFonts w:ascii="Arial" w:hAnsi="Arial" w:cs="Arial"/>
                <w:bCs/>
              </w:rPr>
              <w:t>Strength</w:t>
            </w:r>
          </w:p>
        </w:tc>
        <w:tc>
          <w:tcPr>
            <w:tcW w:w="2340" w:type="dxa"/>
          </w:tcPr>
          <w:p w:rsidR="00EF0506" w:rsidRPr="00A86347" w:rsidRDefault="00EF0506" w:rsidP="00A86347">
            <w:pPr>
              <w:spacing w:line="360" w:lineRule="auto"/>
              <w:rPr>
                <w:rFonts w:ascii="Arial" w:hAnsi="Arial" w:cs="Arial"/>
                <w:bCs/>
              </w:rPr>
            </w:pPr>
            <w:r w:rsidRPr="00A86347">
              <w:rPr>
                <w:rFonts w:ascii="Arial" w:hAnsi="Arial" w:cs="Arial"/>
                <w:bCs/>
              </w:rPr>
              <w:t>Formulation</w:t>
            </w:r>
          </w:p>
        </w:tc>
        <w:tc>
          <w:tcPr>
            <w:tcW w:w="2178" w:type="dxa"/>
          </w:tcPr>
          <w:p w:rsidR="00EF0506" w:rsidRPr="00A86347" w:rsidRDefault="00EF0506" w:rsidP="00A86347">
            <w:pPr>
              <w:spacing w:line="360" w:lineRule="auto"/>
              <w:rPr>
                <w:rFonts w:ascii="Arial" w:hAnsi="Arial" w:cs="Arial"/>
                <w:bCs/>
              </w:rPr>
            </w:pPr>
            <w:r w:rsidRPr="00A86347">
              <w:rPr>
                <w:rFonts w:ascii="Arial" w:hAnsi="Arial" w:cs="Arial"/>
                <w:bCs/>
              </w:rPr>
              <w:t>Special considerations</w:t>
            </w:r>
          </w:p>
        </w:tc>
      </w:tr>
      <w:tr w:rsidR="00EF0506" w:rsidRPr="00A86347">
        <w:tc>
          <w:tcPr>
            <w:tcW w:w="9576" w:type="dxa"/>
            <w:gridSpan w:val="4"/>
          </w:tcPr>
          <w:p w:rsidR="00EF0506" w:rsidRPr="00A86347" w:rsidRDefault="00EF0506" w:rsidP="00A86347">
            <w:pPr>
              <w:spacing w:line="360" w:lineRule="auto"/>
              <w:rPr>
                <w:rFonts w:ascii="Arial" w:hAnsi="Arial" w:cs="Arial"/>
                <w:bCs/>
              </w:rPr>
            </w:pPr>
            <w:r w:rsidRPr="00A86347">
              <w:rPr>
                <w:rFonts w:ascii="Arial" w:hAnsi="Arial" w:cs="Arial"/>
                <w:bCs/>
              </w:rPr>
              <w:t>Super High Potency</w:t>
            </w:r>
          </w:p>
        </w:tc>
      </w:tr>
      <w:tr w:rsidR="00F21F00" w:rsidRPr="00A86347">
        <w:tc>
          <w:tcPr>
            <w:tcW w:w="3078" w:type="dxa"/>
          </w:tcPr>
          <w:p w:rsidR="00F21F00" w:rsidRPr="00A86347" w:rsidRDefault="00F21F00" w:rsidP="00A86347">
            <w:pPr>
              <w:spacing w:line="360" w:lineRule="auto"/>
              <w:rPr>
                <w:rFonts w:ascii="Arial" w:hAnsi="Arial" w:cs="Arial"/>
                <w:bCs/>
              </w:rPr>
            </w:pPr>
            <w:r w:rsidRPr="00A86347">
              <w:rPr>
                <w:rFonts w:ascii="Arial" w:hAnsi="Arial" w:cs="Arial"/>
                <w:bCs/>
              </w:rPr>
              <w:t>Clobetasol propionate</w:t>
            </w:r>
          </w:p>
        </w:tc>
        <w:tc>
          <w:tcPr>
            <w:tcW w:w="1980" w:type="dxa"/>
          </w:tcPr>
          <w:p w:rsidR="00F21F00" w:rsidRPr="00A86347" w:rsidRDefault="00F21F00" w:rsidP="00A86347">
            <w:pPr>
              <w:spacing w:line="360" w:lineRule="auto"/>
              <w:rPr>
                <w:rFonts w:ascii="Arial" w:hAnsi="Arial" w:cs="Arial"/>
                <w:bCs/>
              </w:rPr>
            </w:pPr>
            <w:r w:rsidRPr="00A86347">
              <w:rPr>
                <w:rFonts w:ascii="Arial" w:hAnsi="Arial" w:cs="Arial"/>
                <w:bCs/>
              </w:rPr>
              <w:t>0.05%</w:t>
            </w:r>
          </w:p>
        </w:tc>
        <w:tc>
          <w:tcPr>
            <w:tcW w:w="2340" w:type="dxa"/>
          </w:tcPr>
          <w:p w:rsidR="00F21F00" w:rsidRPr="00A86347" w:rsidRDefault="00F21F00" w:rsidP="00A86347">
            <w:pPr>
              <w:spacing w:line="360" w:lineRule="auto"/>
              <w:rPr>
                <w:rFonts w:ascii="Arial" w:hAnsi="Arial" w:cs="Arial"/>
                <w:bCs/>
              </w:rPr>
            </w:pPr>
            <w:r w:rsidRPr="00A86347">
              <w:rPr>
                <w:rFonts w:ascii="Arial" w:hAnsi="Arial" w:cs="Arial"/>
                <w:bCs/>
              </w:rPr>
              <w:t>Cream, foam, gel, lotion, ointment, shampoo, spray</w:t>
            </w:r>
          </w:p>
          <w:p w:rsidR="00F21F00" w:rsidRPr="00A86347" w:rsidRDefault="00F21F00" w:rsidP="00A86347">
            <w:pPr>
              <w:spacing w:line="360" w:lineRule="auto"/>
              <w:rPr>
                <w:rFonts w:ascii="Arial" w:hAnsi="Arial" w:cs="Arial"/>
                <w:bCs/>
              </w:rPr>
            </w:pPr>
          </w:p>
        </w:tc>
        <w:tc>
          <w:tcPr>
            <w:tcW w:w="2178" w:type="dxa"/>
            <w:vMerge w:val="restart"/>
          </w:tcPr>
          <w:p w:rsidR="00F21F00" w:rsidRPr="00A86347" w:rsidRDefault="00F21F00" w:rsidP="00A86347">
            <w:pPr>
              <w:spacing w:line="360" w:lineRule="auto"/>
              <w:rPr>
                <w:rFonts w:ascii="Arial" w:hAnsi="Arial" w:cs="Arial"/>
                <w:bCs/>
              </w:rPr>
            </w:pPr>
            <w:r w:rsidRPr="00A86347">
              <w:rPr>
                <w:rFonts w:ascii="Arial" w:hAnsi="Arial" w:cs="Arial"/>
                <w:bCs/>
              </w:rPr>
              <w:t>Avoid axilla, groin &amp; face</w:t>
            </w:r>
          </w:p>
          <w:p w:rsidR="00F21F00" w:rsidRPr="00A86347" w:rsidRDefault="00F21F00" w:rsidP="00A86347">
            <w:pPr>
              <w:spacing w:line="360" w:lineRule="auto"/>
              <w:rPr>
                <w:rFonts w:ascii="Arial" w:hAnsi="Arial" w:cs="Arial"/>
                <w:bCs/>
              </w:rPr>
            </w:pPr>
            <w:r w:rsidRPr="00A86347">
              <w:rPr>
                <w:rFonts w:ascii="Arial" w:hAnsi="Arial" w:cs="Arial"/>
                <w:bCs/>
              </w:rPr>
              <w:t>Use for no more than 14 days</w:t>
            </w:r>
          </w:p>
        </w:tc>
      </w:tr>
      <w:tr w:rsidR="00F21F00" w:rsidRPr="00A86347">
        <w:tc>
          <w:tcPr>
            <w:tcW w:w="3078" w:type="dxa"/>
          </w:tcPr>
          <w:p w:rsidR="00F21F00" w:rsidRPr="00A86347" w:rsidRDefault="00F21F00" w:rsidP="00A86347">
            <w:pPr>
              <w:spacing w:line="360" w:lineRule="auto"/>
              <w:rPr>
                <w:rFonts w:ascii="Arial" w:hAnsi="Arial" w:cs="Arial"/>
                <w:bCs/>
              </w:rPr>
            </w:pPr>
            <w:r w:rsidRPr="00A86347">
              <w:rPr>
                <w:rFonts w:ascii="Arial" w:hAnsi="Arial" w:cs="Arial"/>
                <w:bCs/>
              </w:rPr>
              <w:t>Flucinonide</w:t>
            </w:r>
          </w:p>
        </w:tc>
        <w:tc>
          <w:tcPr>
            <w:tcW w:w="1980" w:type="dxa"/>
          </w:tcPr>
          <w:p w:rsidR="00F21F00" w:rsidRPr="00A86347" w:rsidRDefault="00F21F00" w:rsidP="00A86347">
            <w:pPr>
              <w:spacing w:line="360" w:lineRule="auto"/>
              <w:rPr>
                <w:rFonts w:ascii="Arial" w:hAnsi="Arial" w:cs="Arial"/>
                <w:bCs/>
              </w:rPr>
            </w:pPr>
            <w:r w:rsidRPr="00A86347">
              <w:rPr>
                <w:rFonts w:ascii="Arial" w:hAnsi="Arial" w:cs="Arial"/>
                <w:bCs/>
              </w:rPr>
              <w:t>0.1%</w:t>
            </w:r>
          </w:p>
        </w:tc>
        <w:tc>
          <w:tcPr>
            <w:tcW w:w="2340" w:type="dxa"/>
          </w:tcPr>
          <w:p w:rsidR="00F21F00" w:rsidRPr="00A86347" w:rsidRDefault="00F21F00" w:rsidP="00A86347">
            <w:pPr>
              <w:spacing w:line="360" w:lineRule="auto"/>
              <w:rPr>
                <w:rFonts w:ascii="Arial" w:hAnsi="Arial" w:cs="Arial"/>
                <w:bCs/>
              </w:rPr>
            </w:pPr>
            <w:r w:rsidRPr="00A86347">
              <w:rPr>
                <w:rFonts w:ascii="Arial" w:hAnsi="Arial" w:cs="Arial"/>
                <w:bCs/>
              </w:rPr>
              <w:t>Cream</w:t>
            </w:r>
          </w:p>
        </w:tc>
        <w:tc>
          <w:tcPr>
            <w:tcW w:w="2178" w:type="dxa"/>
            <w:vMerge/>
          </w:tcPr>
          <w:p w:rsidR="00F21F00" w:rsidRPr="00A86347" w:rsidRDefault="00F21F00" w:rsidP="00A86347">
            <w:pPr>
              <w:spacing w:line="360" w:lineRule="auto"/>
              <w:rPr>
                <w:rFonts w:ascii="Arial" w:hAnsi="Arial" w:cs="Arial"/>
                <w:bCs/>
              </w:rPr>
            </w:pPr>
          </w:p>
        </w:tc>
      </w:tr>
      <w:tr w:rsidR="00F21F00" w:rsidRPr="00A86347">
        <w:tc>
          <w:tcPr>
            <w:tcW w:w="3078" w:type="dxa"/>
          </w:tcPr>
          <w:p w:rsidR="00F21F00" w:rsidRPr="00A86347" w:rsidRDefault="00F21F00" w:rsidP="00A86347">
            <w:pPr>
              <w:spacing w:line="360" w:lineRule="auto"/>
              <w:rPr>
                <w:rFonts w:ascii="Arial" w:hAnsi="Arial" w:cs="Arial"/>
                <w:bCs/>
              </w:rPr>
            </w:pPr>
            <w:r w:rsidRPr="00A86347">
              <w:rPr>
                <w:rFonts w:ascii="Arial" w:hAnsi="Arial" w:cs="Arial"/>
                <w:bCs/>
              </w:rPr>
              <w:t>Halobetasol propionate</w:t>
            </w:r>
          </w:p>
          <w:p w:rsidR="00F21F00" w:rsidRPr="00A86347" w:rsidRDefault="00F21F00" w:rsidP="00A86347">
            <w:pPr>
              <w:spacing w:line="360" w:lineRule="auto"/>
              <w:rPr>
                <w:rFonts w:ascii="Arial" w:hAnsi="Arial" w:cs="Arial"/>
                <w:bCs/>
              </w:rPr>
            </w:pPr>
          </w:p>
        </w:tc>
        <w:tc>
          <w:tcPr>
            <w:tcW w:w="1980" w:type="dxa"/>
          </w:tcPr>
          <w:p w:rsidR="00F21F00" w:rsidRPr="00A86347" w:rsidRDefault="00F21F00" w:rsidP="00A86347">
            <w:pPr>
              <w:spacing w:line="360" w:lineRule="auto"/>
              <w:rPr>
                <w:rFonts w:ascii="Arial" w:hAnsi="Arial" w:cs="Arial"/>
                <w:bCs/>
              </w:rPr>
            </w:pPr>
            <w:r w:rsidRPr="00A86347">
              <w:rPr>
                <w:rFonts w:ascii="Arial" w:hAnsi="Arial" w:cs="Arial"/>
                <w:bCs/>
              </w:rPr>
              <w:t>0.05%</w:t>
            </w:r>
          </w:p>
        </w:tc>
        <w:tc>
          <w:tcPr>
            <w:tcW w:w="2340" w:type="dxa"/>
          </w:tcPr>
          <w:p w:rsidR="00F21F00" w:rsidRPr="00A86347" w:rsidRDefault="00F21F00" w:rsidP="00A86347">
            <w:pPr>
              <w:spacing w:line="360" w:lineRule="auto"/>
              <w:rPr>
                <w:rFonts w:ascii="Arial" w:hAnsi="Arial" w:cs="Arial"/>
                <w:bCs/>
              </w:rPr>
            </w:pPr>
            <w:r w:rsidRPr="00A86347">
              <w:rPr>
                <w:rFonts w:ascii="Arial" w:hAnsi="Arial" w:cs="Arial"/>
                <w:bCs/>
              </w:rPr>
              <w:t>Cream, ointment</w:t>
            </w:r>
          </w:p>
          <w:p w:rsidR="00F21F00" w:rsidRPr="00A86347" w:rsidRDefault="00F21F00" w:rsidP="00A86347">
            <w:pPr>
              <w:spacing w:line="360" w:lineRule="auto"/>
              <w:rPr>
                <w:rFonts w:ascii="Arial" w:hAnsi="Arial" w:cs="Arial"/>
                <w:bCs/>
              </w:rPr>
            </w:pPr>
          </w:p>
        </w:tc>
        <w:tc>
          <w:tcPr>
            <w:tcW w:w="2178" w:type="dxa"/>
            <w:vMerge/>
          </w:tcPr>
          <w:p w:rsidR="00F21F00" w:rsidRPr="00A86347" w:rsidRDefault="00F21F00" w:rsidP="00A86347">
            <w:pPr>
              <w:spacing w:line="360" w:lineRule="auto"/>
              <w:rPr>
                <w:rFonts w:ascii="Arial" w:hAnsi="Arial" w:cs="Arial"/>
                <w:bCs/>
              </w:rPr>
            </w:pPr>
          </w:p>
        </w:tc>
      </w:tr>
      <w:tr w:rsidR="00EF0506" w:rsidRPr="00A86347">
        <w:tc>
          <w:tcPr>
            <w:tcW w:w="9576" w:type="dxa"/>
            <w:gridSpan w:val="4"/>
          </w:tcPr>
          <w:p w:rsidR="00EF0506" w:rsidRPr="00A86347" w:rsidRDefault="00EF0506" w:rsidP="00A86347">
            <w:pPr>
              <w:spacing w:line="360" w:lineRule="auto"/>
              <w:rPr>
                <w:rFonts w:ascii="Arial" w:hAnsi="Arial" w:cs="Arial"/>
                <w:bCs/>
              </w:rPr>
            </w:pPr>
            <w:r w:rsidRPr="00A86347">
              <w:rPr>
                <w:rFonts w:ascii="Arial" w:hAnsi="Arial" w:cs="Arial"/>
                <w:bCs/>
              </w:rPr>
              <w:t>High Potency</w:t>
            </w:r>
          </w:p>
        </w:tc>
      </w:tr>
      <w:tr w:rsidR="001145E7" w:rsidRPr="00A86347">
        <w:tc>
          <w:tcPr>
            <w:tcW w:w="3078" w:type="dxa"/>
          </w:tcPr>
          <w:p w:rsidR="001145E7" w:rsidRPr="00A86347" w:rsidRDefault="001145E7" w:rsidP="00A86347">
            <w:pPr>
              <w:spacing w:line="360" w:lineRule="auto"/>
              <w:rPr>
                <w:rFonts w:ascii="Arial" w:hAnsi="Arial" w:cs="Arial"/>
                <w:bCs/>
              </w:rPr>
            </w:pPr>
            <w:r w:rsidRPr="00A86347">
              <w:rPr>
                <w:rFonts w:ascii="Arial" w:hAnsi="Arial" w:cs="Arial"/>
                <w:bCs/>
              </w:rPr>
              <w:t>Flucinonide</w:t>
            </w:r>
          </w:p>
        </w:tc>
        <w:tc>
          <w:tcPr>
            <w:tcW w:w="1980" w:type="dxa"/>
          </w:tcPr>
          <w:p w:rsidR="001145E7" w:rsidRPr="00A86347" w:rsidRDefault="001145E7" w:rsidP="00A86347">
            <w:pPr>
              <w:spacing w:line="360" w:lineRule="auto"/>
              <w:rPr>
                <w:rFonts w:ascii="Arial" w:hAnsi="Arial" w:cs="Arial"/>
                <w:bCs/>
              </w:rPr>
            </w:pPr>
            <w:r w:rsidRPr="00A86347">
              <w:rPr>
                <w:rFonts w:ascii="Arial" w:hAnsi="Arial" w:cs="Arial"/>
                <w:bCs/>
              </w:rPr>
              <w:t>0.05%</w:t>
            </w:r>
          </w:p>
        </w:tc>
        <w:tc>
          <w:tcPr>
            <w:tcW w:w="2340" w:type="dxa"/>
          </w:tcPr>
          <w:p w:rsidR="001145E7" w:rsidRPr="00A86347" w:rsidRDefault="001145E7" w:rsidP="00A86347">
            <w:pPr>
              <w:spacing w:line="360" w:lineRule="auto"/>
              <w:rPr>
                <w:rFonts w:ascii="Arial" w:hAnsi="Arial" w:cs="Arial"/>
                <w:bCs/>
              </w:rPr>
            </w:pPr>
            <w:r w:rsidRPr="00A86347">
              <w:rPr>
                <w:rFonts w:ascii="Arial" w:hAnsi="Arial" w:cs="Arial"/>
                <w:bCs/>
              </w:rPr>
              <w:t>Cream, gel, ointment, solution</w:t>
            </w:r>
          </w:p>
          <w:p w:rsidR="001145E7" w:rsidRPr="00A86347" w:rsidRDefault="001145E7" w:rsidP="00A86347">
            <w:pPr>
              <w:spacing w:line="360" w:lineRule="auto"/>
              <w:rPr>
                <w:rFonts w:ascii="Arial" w:hAnsi="Arial" w:cs="Arial"/>
                <w:bCs/>
              </w:rPr>
            </w:pPr>
          </w:p>
        </w:tc>
        <w:tc>
          <w:tcPr>
            <w:tcW w:w="2178" w:type="dxa"/>
            <w:vMerge w:val="restart"/>
          </w:tcPr>
          <w:p w:rsidR="001145E7" w:rsidRPr="00A86347" w:rsidRDefault="001145E7" w:rsidP="00A86347">
            <w:pPr>
              <w:spacing w:line="360" w:lineRule="auto"/>
              <w:rPr>
                <w:rFonts w:ascii="Arial" w:hAnsi="Arial" w:cs="Arial"/>
                <w:bCs/>
              </w:rPr>
            </w:pPr>
            <w:r w:rsidRPr="00A86347">
              <w:rPr>
                <w:rFonts w:ascii="Arial" w:hAnsi="Arial" w:cs="Arial"/>
                <w:bCs/>
              </w:rPr>
              <w:t>Avoid axilla, groin &amp; face</w:t>
            </w:r>
          </w:p>
          <w:p w:rsidR="001145E7" w:rsidRPr="00A86347" w:rsidRDefault="001145E7" w:rsidP="00A86347">
            <w:pPr>
              <w:spacing w:line="360" w:lineRule="auto"/>
              <w:rPr>
                <w:rFonts w:ascii="Arial" w:hAnsi="Arial" w:cs="Arial"/>
                <w:bCs/>
              </w:rPr>
            </w:pPr>
            <w:r w:rsidRPr="00A86347">
              <w:rPr>
                <w:rFonts w:ascii="Arial" w:hAnsi="Arial" w:cs="Arial"/>
                <w:bCs/>
              </w:rPr>
              <w:t>Use for no more than 14 days</w:t>
            </w:r>
          </w:p>
        </w:tc>
      </w:tr>
      <w:tr w:rsidR="001145E7" w:rsidRPr="00A86347">
        <w:tc>
          <w:tcPr>
            <w:tcW w:w="3078" w:type="dxa"/>
          </w:tcPr>
          <w:p w:rsidR="001145E7" w:rsidRPr="00A86347" w:rsidRDefault="001145E7" w:rsidP="00A86347">
            <w:pPr>
              <w:spacing w:line="360" w:lineRule="auto"/>
              <w:rPr>
                <w:rFonts w:ascii="Arial" w:hAnsi="Arial" w:cs="Arial"/>
                <w:bCs/>
              </w:rPr>
            </w:pPr>
            <w:r w:rsidRPr="00A86347">
              <w:rPr>
                <w:rFonts w:ascii="Arial" w:hAnsi="Arial" w:cs="Arial"/>
                <w:bCs/>
              </w:rPr>
              <w:t>Triamcinolone acetonide</w:t>
            </w:r>
          </w:p>
          <w:p w:rsidR="001145E7" w:rsidRPr="00A86347" w:rsidRDefault="001145E7" w:rsidP="00A86347">
            <w:pPr>
              <w:spacing w:line="360" w:lineRule="auto"/>
              <w:rPr>
                <w:rFonts w:ascii="Arial" w:hAnsi="Arial" w:cs="Arial"/>
                <w:bCs/>
              </w:rPr>
            </w:pPr>
          </w:p>
        </w:tc>
        <w:tc>
          <w:tcPr>
            <w:tcW w:w="1980" w:type="dxa"/>
          </w:tcPr>
          <w:p w:rsidR="001145E7" w:rsidRPr="00A86347" w:rsidRDefault="001145E7" w:rsidP="00A86347">
            <w:pPr>
              <w:spacing w:line="360" w:lineRule="auto"/>
              <w:rPr>
                <w:rFonts w:ascii="Arial" w:hAnsi="Arial" w:cs="Arial"/>
                <w:bCs/>
              </w:rPr>
            </w:pPr>
            <w:r w:rsidRPr="00A86347">
              <w:rPr>
                <w:rFonts w:ascii="Arial" w:hAnsi="Arial" w:cs="Arial"/>
                <w:bCs/>
              </w:rPr>
              <w:t>0.5%</w:t>
            </w:r>
          </w:p>
        </w:tc>
        <w:tc>
          <w:tcPr>
            <w:tcW w:w="2340" w:type="dxa"/>
          </w:tcPr>
          <w:p w:rsidR="001145E7" w:rsidRPr="00A86347" w:rsidRDefault="001145E7" w:rsidP="00A86347">
            <w:pPr>
              <w:spacing w:line="360" w:lineRule="auto"/>
              <w:rPr>
                <w:rFonts w:ascii="Arial" w:hAnsi="Arial" w:cs="Arial"/>
                <w:bCs/>
              </w:rPr>
            </w:pPr>
            <w:r w:rsidRPr="00A86347">
              <w:rPr>
                <w:rFonts w:ascii="Arial" w:hAnsi="Arial" w:cs="Arial"/>
                <w:bCs/>
              </w:rPr>
              <w:t>Ointment</w:t>
            </w:r>
          </w:p>
        </w:tc>
        <w:tc>
          <w:tcPr>
            <w:tcW w:w="2178" w:type="dxa"/>
            <w:vMerge/>
          </w:tcPr>
          <w:p w:rsidR="001145E7" w:rsidRPr="00A86347" w:rsidRDefault="001145E7" w:rsidP="00A86347">
            <w:pPr>
              <w:spacing w:line="360" w:lineRule="auto"/>
              <w:rPr>
                <w:rFonts w:ascii="Arial" w:hAnsi="Arial" w:cs="Arial"/>
                <w:bCs/>
              </w:rPr>
            </w:pPr>
          </w:p>
        </w:tc>
      </w:tr>
      <w:tr w:rsidR="001145E7" w:rsidRPr="00A86347">
        <w:tc>
          <w:tcPr>
            <w:tcW w:w="9576" w:type="dxa"/>
            <w:gridSpan w:val="4"/>
          </w:tcPr>
          <w:p w:rsidR="001145E7" w:rsidRPr="00A86347" w:rsidRDefault="001145E7" w:rsidP="00A86347">
            <w:pPr>
              <w:spacing w:line="360" w:lineRule="auto"/>
              <w:rPr>
                <w:rFonts w:ascii="Arial" w:hAnsi="Arial" w:cs="Arial"/>
                <w:bCs/>
              </w:rPr>
            </w:pPr>
            <w:r w:rsidRPr="00A86347">
              <w:rPr>
                <w:rFonts w:ascii="Arial" w:hAnsi="Arial" w:cs="Arial"/>
                <w:bCs/>
              </w:rPr>
              <w:t>Medium-High Potency</w:t>
            </w:r>
          </w:p>
        </w:tc>
      </w:tr>
      <w:tr w:rsidR="001145E7" w:rsidRPr="00A86347">
        <w:tc>
          <w:tcPr>
            <w:tcW w:w="3078" w:type="dxa"/>
          </w:tcPr>
          <w:p w:rsidR="001145E7" w:rsidRPr="00A86347" w:rsidRDefault="001145E7" w:rsidP="00A86347">
            <w:pPr>
              <w:spacing w:line="360" w:lineRule="auto"/>
              <w:rPr>
                <w:rFonts w:ascii="Arial" w:hAnsi="Arial" w:cs="Arial"/>
                <w:bCs/>
              </w:rPr>
            </w:pPr>
            <w:r w:rsidRPr="00A86347">
              <w:rPr>
                <w:rFonts w:ascii="Arial" w:hAnsi="Arial" w:cs="Arial"/>
                <w:bCs/>
              </w:rPr>
              <w:t>Betamethasone valerate</w:t>
            </w:r>
          </w:p>
          <w:p w:rsidR="001145E7" w:rsidRPr="00A86347" w:rsidRDefault="001145E7" w:rsidP="00A86347">
            <w:pPr>
              <w:spacing w:line="360" w:lineRule="auto"/>
              <w:rPr>
                <w:rFonts w:ascii="Arial" w:hAnsi="Arial" w:cs="Arial"/>
                <w:bCs/>
              </w:rPr>
            </w:pPr>
          </w:p>
        </w:tc>
        <w:tc>
          <w:tcPr>
            <w:tcW w:w="1980" w:type="dxa"/>
          </w:tcPr>
          <w:p w:rsidR="001145E7" w:rsidRPr="00A86347" w:rsidRDefault="001145E7" w:rsidP="00A86347">
            <w:pPr>
              <w:spacing w:line="360" w:lineRule="auto"/>
              <w:rPr>
                <w:rFonts w:ascii="Arial" w:hAnsi="Arial" w:cs="Arial"/>
                <w:bCs/>
              </w:rPr>
            </w:pPr>
            <w:r w:rsidRPr="00A86347">
              <w:rPr>
                <w:rFonts w:ascii="Arial" w:hAnsi="Arial" w:cs="Arial"/>
                <w:bCs/>
              </w:rPr>
              <w:t>0.12%</w:t>
            </w:r>
          </w:p>
        </w:tc>
        <w:tc>
          <w:tcPr>
            <w:tcW w:w="2340" w:type="dxa"/>
          </w:tcPr>
          <w:p w:rsidR="001145E7" w:rsidRPr="00A86347" w:rsidRDefault="001145E7" w:rsidP="00A86347">
            <w:pPr>
              <w:spacing w:line="360" w:lineRule="auto"/>
              <w:rPr>
                <w:rFonts w:ascii="Arial" w:hAnsi="Arial" w:cs="Arial"/>
                <w:bCs/>
              </w:rPr>
            </w:pPr>
            <w:r w:rsidRPr="00A86347">
              <w:rPr>
                <w:rFonts w:ascii="Arial" w:hAnsi="Arial" w:cs="Arial"/>
                <w:bCs/>
              </w:rPr>
              <w:t>Foam</w:t>
            </w:r>
          </w:p>
        </w:tc>
        <w:tc>
          <w:tcPr>
            <w:tcW w:w="2178" w:type="dxa"/>
          </w:tcPr>
          <w:p w:rsidR="001145E7" w:rsidRPr="00A86347" w:rsidRDefault="001145E7" w:rsidP="00A86347">
            <w:pPr>
              <w:spacing w:line="360" w:lineRule="auto"/>
              <w:rPr>
                <w:rFonts w:ascii="Arial" w:hAnsi="Arial" w:cs="Arial"/>
                <w:bCs/>
              </w:rPr>
            </w:pPr>
          </w:p>
        </w:tc>
      </w:tr>
      <w:tr w:rsidR="00EF0506" w:rsidRPr="00A86347">
        <w:tc>
          <w:tcPr>
            <w:tcW w:w="3078" w:type="dxa"/>
          </w:tcPr>
          <w:p w:rsidR="001145E7" w:rsidRPr="00A86347" w:rsidRDefault="001145E7" w:rsidP="00A86347">
            <w:pPr>
              <w:spacing w:line="360" w:lineRule="auto"/>
              <w:rPr>
                <w:rFonts w:ascii="Arial" w:hAnsi="Arial" w:cs="Arial"/>
                <w:bCs/>
              </w:rPr>
            </w:pPr>
            <w:r w:rsidRPr="00A86347">
              <w:rPr>
                <w:rFonts w:ascii="Arial" w:hAnsi="Arial" w:cs="Arial"/>
                <w:bCs/>
              </w:rPr>
              <w:t>Fluocinolone acetonide</w:t>
            </w:r>
          </w:p>
          <w:p w:rsidR="00EF0506" w:rsidRPr="00A86347" w:rsidRDefault="00EF0506" w:rsidP="00A86347">
            <w:pPr>
              <w:spacing w:line="360" w:lineRule="auto"/>
              <w:rPr>
                <w:rFonts w:ascii="Arial" w:hAnsi="Arial" w:cs="Arial"/>
                <w:bCs/>
              </w:rPr>
            </w:pPr>
          </w:p>
        </w:tc>
        <w:tc>
          <w:tcPr>
            <w:tcW w:w="1980" w:type="dxa"/>
          </w:tcPr>
          <w:p w:rsidR="001145E7" w:rsidRPr="00A86347" w:rsidRDefault="001145E7" w:rsidP="00A86347">
            <w:pPr>
              <w:spacing w:line="360" w:lineRule="auto"/>
              <w:rPr>
                <w:rFonts w:ascii="Arial" w:hAnsi="Arial" w:cs="Arial"/>
                <w:bCs/>
              </w:rPr>
            </w:pPr>
            <w:r w:rsidRPr="00A86347">
              <w:rPr>
                <w:rFonts w:ascii="Arial" w:hAnsi="Arial" w:cs="Arial"/>
                <w:bCs/>
              </w:rPr>
              <w:t>0.025%</w:t>
            </w:r>
          </w:p>
          <w:p w:rsidR="00EF0506" w:rsidRPr="00A86347" w:rsidRDefault="00EF0506" w:rsidP="00A86347">
            <w:pPr>
              <w:spacing w:line="360" w:lineRule="auto"/>
              <w:rPr>
                <w:rFonts w:ascii="Arial" w:hAnsi="Arial" w:cs="Arial"/>
                <w:bCs/>
              </w:rPr>
            </w:pPr>
          </w:p>
        </w:tc>
        <w:tc>
          <w:tcPr>
            <w:tcW w:w="2340" w:type="dxa"/>
          </w:tcPr>
          <w:p w:rsidR="00EF0506" w:rsidRPr="00A86347" w:rsidRDefault="001145E7" w:rsidP="00A86347">
            <w:pPr>
              <w:spacing w:line="360" w:lineRule="auto"/>
              <w:rPr>
                <w:rFonts w:ascii="Arial" w:hAnsi="Arial" w:cs="Arial"/>
                <w:bCs/>
              </w:rPr>
            </w:pPr>
            <w:r w:rsidRPr="00A86347">
              <w:rPr>
                <w:rFonts w:ascii="Arial" w:hAnsi="Arial" w:cs="Arial"/>
                <w:bCs/>
              </w:rPr>
              <w:t>Ointment</w:t>
            </w:r>
          </w:p>
        </w:tc>
        <w:tc>
          <w:tcPr>
            <w:tcW w:w="2178" w:type="dxa"/>
          </w:tcPr>
          <w:p w:rsidR="00EF0506" w:rsidRPr="00A86347" w:rsidRDefault="00EF0506" w:rsidP="00A86347">
            <w:pPr>
              <w:spacing w:line="360" w:lineRule="auto"/>
              <w:rPr>
                <w:rFonts w:ascii="Arial" w:hAnsi="Arial" w:cs="Arial"/>
                <w:bCs/>
              </w:rPr>
            </w:pPr>
          </w:p>
        </w:tc>
      </w:tr>
      <w:tr w:rsidR="00EF0506" w:rsidRPr="00A86347">
        <w:tc>
          <w:tcPr>
            <w:tcW w:w="3078" w:type="dxa"/>
          </w:tcPr>
          <w:p w:rsidR="001145E7" w:rsidRPr="00A86347" w:rsidRDefault="001145E7" w:rsidP="00A86347">
            <w:pPr>
              <w:spacing w:line="360" w:lineRule="auto"/>
              <w:rPr>
                <w:rFonts w:ascii="Arial" w:hAnsi="Arial" w:cs="Arial"/>
                <w:bCs/>
              </w:rPr>
            </w:pPr>
            <w:r w:rsidRPr="00A86347">
              <w:rPr>
                <w:rFonts w:ascii="Arial" w:hAnsi="Arial" w:cs="Arial"/>
                <w:bCs/>
              </w:rPr>
              <w:t>Fluocinolone acetonide</w:t>
            </w:r>
          </w:p>
          <w:p w:rsidR="00EF0506" w:rsidRPr="00A86347" w:rsidRDefault="00EF0506" w:rsidP="00A86347">
            <w:pPr>
              <w:spacing w:line="360" w:lineRule="auto"/>
              <w:rPr>
                <w:rFonts w:ascii="Arial" w:hAnsi="Arial" w:cs="Arial"/>
                <w:bCs/>
              </w:rPr>
            </w:pPr>
          </w:p>
        </w:tc>
        <w:tc>
          <w:tcPr>
            <w:tcW w:w="1980" w:type="dxa"/>
          </w:tcPr>
          <w:p w:rsidR="00EF0506" w:rsidRPr="00A86347" w:rsidRDefault="001145E7" w:rsidP="00A86347">
            <w:pPr>
              <w:spacing w:line="360" w:lineRule="auto"/>
              <w:rPr>
                <w:rFonts w:ascii="Arial" w:hAnsi="Arial" w:cs="Arial"/>
                <w:bCs/>
              </w:rPr>
            </w:pPr>
            <w:r w:rsidRPr="00A86347">
              <w:rPr>
                <w:rFonts w:ascii="Arial" w:hAnsi="Arial" w:cs="Arial"/>
                <w:bCs/>
              </w:rPr>
              <w:t>0.2%</w:t>
            </w:r>
          </w:p>
        </w:tc>
        <w:tc>
          <w:tcPr>
            <w:tcW w:w="2340" w:type="dxa"/>
          </w:tcPr>
          <w:p w:rsidR="00EF0506" w:rsidRPr="00A86347" w:rsidRDefault="001145E7" w:rsidP="00A86347">
            <w:pPr>
              <w:spacing w:line="360" w:lineRule="auto"/>
              <w:rPr>
                <w:rFonts w:ascii="Arial" w:hAnsi="Arial" w:cs="Arial"/>
                <w:bCs/>
              </w:rPr>
            </w:pPr>
            <w:r w:rsidRPr="00A86347">
              <w:rPr>
                <w:rFonts w:ascii="Arial" w:hAnsi="Arial" w:cs="Arial"/>
                <w:bCs/>
              </w:rPr>
              <w:t>Cream</w:t>
            </w:r>
          </w:p>
        </w:tc>
        <w:tc>
          <w:tcPr>
            <w:tcW w:w="2178" w:type="dxa"/>
          </w:tcPr>
          <w:p w:rsidR="00EF0506" w:rsidRPr="00A86347" w:rsidRDefault="00EF0506" w:rsidP="00A86347">
            <w:pPr>
              <w:spacing w:line="360" w:lineRule="auto"/>
              <w:rPr>
                <w:rFonts w:ascii="Arial" w:hAnsi="Arial" w:cs="Arial"/>
                <w:bCs/>
              </w:rPr>
            </w:pPr>
          </w:p>
        </w:tc>
      </w:tr>
      <w:tr w:rsidR="001145E7" w:rsidRPr="00A86347">
        <w:tc>
          <w:tcPr>
            <w:tcW w:w="9576" w:type="dxa"/>
            <w:gridSpan w:val="4"/>
          </w:tcPr>
          <w:p w:rsidR="001145E7" w:rsidRPr="00A86347" w:rsidRDefault="001145E7" w:rsidP="00A86347">
            <w:pPr>
              <w:spacing w:line="360" w:lineRule="auto"/>
              <w:rPr>
                <w:rFonts w:ascii="Arial" w:hAnsi="Arial" w:cs="Arial"/>
                <w:bCs/>
              </w:rPr>
            </w:pPr>
            <w:r w:rsidRPr="00A86347">
              <w:rPr>
                <w:rFonts w:ascii="Arial" w:hAnsi="Arial" w:cs="Arial"/>
                <w:bCs/>
              </w:rPr>
              <w:t>Medium-Low Potency</w:t>
            </w:r>
          </w:p>
        </w:tc>
      </w:tr>
      <w:tr w:rsidR="00EF0506" w:rsidRPr="00A86347">
        <w:tc>
          <w:tcPr>
            <w:tcW w:w="3078" w:type="dxa"/>
          </w:tcPr>
          <w:p w:rsidR="00EF0506" w:rsidRPr="00A86347" w:rsidRDefault="001145E7" w:rsidP="00A86347">
            <w:pPr>
              <w:spacing w:line="360" w:lineRule="auto"/>
              <w:rPr>
                <w:rFonts w:ascii="Arial" w:hAnsi="Arial" w:cs="Arial"/>
                <w:bCs/>
              </w:rPr>
            </w:pPr>
            <w:r w:rsidRPr="00A86347">
              <w:rPr>
                <w:rFonts w:ascii="Arial" w:hAnsi="Arial" w:cs="Arial"/>
                <w:bCs/>
              </w:rPr>
              <w:t>Desonide</w:t>
            </w:r>
          </w:p>
        </w:tc>
        <w:tc>
          <w:tcPr>
            <w:tcW w:w="1980" w:type="dxa"/>
          </w:tcPr>
          <w:p w:rsidR="00EF0506" w:rsidRPr="00A86347" w:rsidRDefault="001145E7" w:rsidP="00A86347">
            <w:pPr>
              <w:spacing w:line="360" w:lineRule="auto"/>
              <w:rPr>
                <w:rFonts w:ascii="Arial" w:hAnsi="Arial" w:cs="Arial"/>
                <w:bCs/>
              </w:rPr>
            </w:pPr>
            <w:r w:rsidRPr="00A86347">
              <w:rPr>
                <w:rFonts w:ascii="Arial" w:hAnsi="Arial" w:cs="Arial"/>
                <w:bCs/>
              </w:rPr>
              <w:t>0.05%</w:t>
            </w:r>
          </w:p>
        </w:tc>
        <w:tc>
          <w:tcPr>
            <w:tcW w:w="2340" w:type="dxa"/>
          </w:tcPr>
          <w:p w:rsidR="00EF0506" w:rsidRPr="00A86347" w:rsidRDefault="001145E7" w:rsidP="00A86347">
            <w:pPr>
              <w:spacing w:line="360" w:lineRule="auto"/>
              <w:rPr>
                <w:rFonts w:ascii="Arial" w:hAnsi="Arial" w:cs="Arial"/>
                <w:bCs/>
              </w:rPr>
            </w:pPr>
            <w:r w:rsidRPr="00A86347">
              <w:rPr>
                <w:rFonts w:ascii="Arial" w:hAnsi="Arial" w:cs="Arial"/>
                <w:bCs/>
              </w:rPr>
              <w:t>Lotion, ointment</w:t>
            </w:r>
          </w:p>
        </w:tc>
        <w:tc>
          <w:tcPr>
            <w:tcW w:w="2178" w:type="dxa"/>
          </w:tcPr>
          <w:p w:rsidR="00EF0506" w:rsidRPr="00A86347" w:rsidRDefault="00EF0506" w:rsidP="00A86347">
            <w:pPr>
              <w:spacing w:line="360" w:lineRule="auto"/>
              <w:rPr>
                <w:rFonts w:ascii="Arial" w:hAnsi="Arial" w:cs="Arial"/>
                <w:bCs/>
              </w:rPr>
            </w:pPr>
          </w:p>
        </w:tc>
      </w:tr>
      <w:tr w:rsidR="00EF0506" w:rsidRPr="00A86347">
        <w:tc>
          <w:tcPr>
            <w:tcW w:w="3078" w:type="dxa"/>
          </w:tcPr>
          <w:p w:rsidR="001145E7" w:rsidRPr="00A86347" w:rsidRDefault="001145E7" w:rsidP="00A86347">
            <w:pPr>
              <w:spacing w:line="360" w:lineRule="auto"/>
              <w:rPr>
                <w:rFonts w:ascii="Arial" w:hAnsi="Arial" w:cs="Arial"/>
                <w:bCs/>
              </w:rPr>
            </w:pPr>
            <w:r w:rsidRPr="00A86347">
              <w:rPr>
                <w:rFonts w:ascii="Arial" w:hAnsi="Arial" w:cs="Arial"/>
                <w:bCs/>
              </w:rPr>
              <w:t>Fluocinolone acetonide</w:t>
            </w:r>
          </w:p>
          <w:p w:rsidR="00EF0506" w:rsidRPr="00A86347" w:rsidRDefault="00EF0506" w:rsidP="00A86347">
            <w:pPr>
              <w:spacing w:line="360" w:lineRule="auto"/>
              <w:rPr>
                <w:rFonts w:ascii="Arial" w:hAnsi="Arial" w:cs="Arial"/>
                <w:bCs/>
              </w:rPr>
            </w:pPr>
          </w:p>
        </w:tc>
        <w:tc>
          <w:tcPr>
            <w:tcW w:w="1980" w:type="dxa"/>
          </w:tcPr>
          <w:p w:rsidR="00EF0506" w:rsidRPr="00A86347" w:rsidRDefault="001145E7" w:rsidP="00A86347">
            <w:pPr>
              <w:spacing w:line="360" w:lineRule="auto"/>
              <w:rPr>
                <w:rFonts w:ascii="Arial" w:hAnsi="Arial" w:cs="Arial"/>
                <w:bCs/>
              </w:rPr>
            </w:pPr>
            <w:r w:rsidRPr="00A86347">
              <w:rPr>
                <w:rFonts w:ascii="Arial" w:hAnsi="Arial" w:cs="Arial"/>
                <w:bCs/>
              </w:rPr>
              <w:t>0.025%</w:t>
            </w:r>
          </w:p>
        </w:tc>
        <w:tc>
          <w:tcPr>
            <w:tcW w:w="2340" w:type="dxa"/>
          </w:tcPr>
          <w:p w:rsidR="00EF0506" w:rsidRPr="00A86347" w:rsidRDefault="001145E7" w:rsidP="00A86347">
            <w:pPr>
              <w:spacing w:line="360" w:lineRule="auto"/>
              <w:rPr>
                <w:rFonts w:ascii="Arial" w:hAnsi="Arial" w:cs="Arial"/>
                <w:bCs/>
              </w:rPr>
            </w:pPr>
            <w:r w:rsidRPr="00A86347">
              <w:rPr>
                <w:rFonts w:ascii="Arial" w:hAnsi="Arial" w:cs="Arial"/>
                <w:bCs/>
              </w:rPr>
              <w:t>Cream</w:t>
            </w:r>
          </w:p>
        </w:tc>
        <w:tc>
          <w:tcPr>
            <w:tcW w:w="2178" w:type="dxa"/>
          </w:tcPr>
          <w:p w:rsidR="00EF0506" w:rsidRPr="00A86347" w:rsidRDefault="00EF0506" w:rsidP="00A86347">
            <w:pPr>
              <w:spacing w:line="360" w:lineRule="auto"/>
              <w:rPr>
                <w:rFonts w:ascii="Arial" w:hAnsi="Arial" w:cs="Arial"/>
                <w:bCs/>
              </w:rPr>
            </w:pPr>
          </w:p>
        </w:tc>
      </w:tr>
      <w:tr w:rsidR="00F21F00" w:rsidRPr="00A86347">
        <w:tc>
          <w:tcPr>
            <w:tcW w:w="3078" w:type="dxa"/>
          </w:tcPr>
          <w:p w:rsidR="00F21F00" w:rsidRPr="00A86347" w:rsidRDefault="00F21F00" w:rsidP="00A86347">
            <w:pPr>
              <w:spacing w:line="360" w:lineRule="auto"/>
              <w:rPr>
                <w:rFonts w:ascii="Arial" w:hAnsi="Arial" w:cs="Arial"/>
                <w:bCs/>
              </w:rPr>
            </w:pPr>
            <w:r w:rsidRPr="00A86347">
              <w:rPr>
                <w:rFonts w:ascii="Arial" w:hAnsi="Arial" w:cs="Arial"/>
                <w:bCs/>
              </w:rPr>
              <w:t>Hydrocortisone butyrate</w:t>
            </w:r>
          </w:p>
          <w:p w:rsidR="00F21F00" w:rsidRPr="00A86347" w:rsidRDefault="00F21F00" w:rsidP="00A86347">
            <w:pPr>
              <w:spacing w:line="360" w:lineRule="auto"/>
              <w:rPr>
                <w:rFonts w:ascii="Arial" w:hAnsi="Arial" w:cs="Arial"/>
                <w:bCs/>
              </w:rPr>
            </w:pPr>
          </w:p>
        </w:tc>
        <w:tc>
          <w:tcPr>
            <w:tcW w:w="1980" w:type="dxa"/>
          </w:tcPr>
          <w:p w:rsidR="00F21F00" w:rsidRPr="00A86347" w:rsidRDefault="00F21F00" w:rsidP="00A86347">
            <w:pPr>
              <w:spacing w:line="360" w:lineRule="auto"/>
              <w:rPr>
                <w:rFonts w:ascii="Arial" w:hAnsi="Arial" w:cs="Arial"/>
                <w:bCs/>
              </w:rPr>
            </w:pPr>
            <w:r w:rsidRPr="00A86347">
              <w:rPr>
                <w:rFonts w:ascii="Arial" w:hAnsi="Arial" w:cs="Arial"/>
                <w:bCs/>
              </w:rPr>
              <w:lastRenderedPageBreak/>
              <w:t>0.1%</w:t>
            </w:r>
          </w:p>
        </w:tc>
        <w:tc>
          <w:tcPr>
            <w:tcW w:w="2340" w:type="dxa"/>
          </w:tcPr>
          <w:p w:rsidR="00F21F00" w:rsidRPr="00A86347" w:rsidRDefault="00F21F00" w:rsidP="00A86347">
            <w:pPr>
              <w:spacing w:line="360" w:lineRule="auto"/>
              <w:rPr>
                <w:rFonts w:ascii="Arial" w:hAnsi="Arial" w:cs="Arial"/>
                <w:bCs/>
              </w:rPr>
            </w:pPr>
            <w:r w:rsidRPr="00A86347">
              <w:rPr>
                <w:rFonts w:ascii="Arial" w:hAnsi="Arial" w:cs="Arial"/>
                <w:bCs/>
              </w:rPr>
              <w:t>Cream</w:t>
            </w:r>
          </w:p>
        </w:tc>
        <w:tc>
          <w:tcPr>
            <w:tcW w:w="2178" w:type="dxa"/>
          </w:tcPr>
          <w:p w:rsidR="00F21F00" w:rsidRPr="00A86347" w:rsidRDefault="00F21F00" w:rsidP="00A86347">
            <w:pPr>
              <w:spacing w:line="360" w:lineRule="auto"/>
              <w:rPr>
                <w:rFonts w:ascii="Arial" w:hAnsi="Arial" w:cs="Arial"/>
                <w:bCs/>
              </w:rPr>
            </w:pPr>
          </w:p>
        </w:tc>
      </w:tr>
      <w:tr w:rsidR="00F21F00" w:rsidRPr="00A86347">
        <w:tc>
          <w:tcPr>
            <w:tcW w:w="3078" w:type="dxa"/>
          </w:tcPr>
          <w:p w:rsidR="00F21F00" w:rsidRPr="00A86347" w:rsidRDefault="00F21F00" w:rsidP="00A86347">
            <w:pPr>
              <w:spacing w:line="360" w:lineRule="auto"/>
              <w:rPr>
                <w:rFonts w:ascii="Arial" w:hAnsi="Arial" w:cs="Arial"/>
                <w:bCs/>
              </w:rPr>
            </w:pPr>
            <w:r w:rsidRPr="00A86347">
              <w:rPr>
                <w:rFonts w:ascii="Arial" w:hAnsi="Arial" w:cs="Arial"/>
                <w:bCs/>
              </w:rPr>
              <w:lastRenderedPageBreak/>
              <w:t>Hydrocortisone valerate</w:t>
            </w:r>
          </w:p>
          <w:p w:rsidR="00F21F00" w:rsidRPr="00A86347" w:rsidRDefault="00F21F00" w:rsidP="00A86347">
            <w:pPr>
              <w:spacing w:line="360" w:lineRule="auto"/>
              <w:rPr>
                <w:rFonts w:ascii="Arial" w:hAnsi="Arial" w:cs="Arial"/>
                <w:bCs/>
              </w:rPr>
            </w:pPr>
          </w:p>
        </w:tc>
        <w:tc>
          <w:tcPr>
            <w:tcW w:w="1980" w:type="dxa"/>
          </w:tcPr>
          <w:p w:rsidR="00F21F00" w:rsidRPr="00A86347" w:rsidRDefault="00F21F00" w:rsidP="00A86347">
            <w:pPr>
              <w:spacing w:line="360" w:lineRule="auto"/>
              <w:rPr>
                <w:rFonts w:ascii="Arial" w:hAnsi="Arial" w:cs="Arial"/>
                <w:bCs/>
              </w:rPr>
            </w:pPr>
            <w:r w:rsidRPr="00A86347">
              <w:rPr>
                <w:rFonts w:ascii="Arial" w:hAnsi="Arial" w:cs="Arial"/>
                <w:bCs/>
              </w:rPr>
              <w:t>0.2%</w:t>
            </w:r>
          </w:p>
        </w:tc>
        <w:tc>
          <w:tcPr>
            <w:tcW w:w="2340" w:type="dxa"/>
          </w:tcPr>
          <w:p w:rsidR="00F21F00" w:rsidRPr="00A86347" w:rsidRDefault="00F21F00" w:rsidP="00A86347">
            <w:pPr>
              <w:spacing w:line="360" w:lineRule="auto"/>
              <w:rPr>
                <w:rFonts w:ascii="Arial" w:hAnsi="Arial" w:cs="Arial"/>
                <w:bCs/>
              </w:rPr>
            </w:pPr>
            <w:r w:rsidRPr="00A86347">
              <w:rPr>
                <w:rFonts w:ascii="Arial" w:hAnsi="Arial" w:cs="Arial"/>
                <w:bCs/>
              </w:rPr>
              <w:t>Cream</w:t>
            </w:r>
          </w:p>
        </w:tc>
        <w:tc>
          <w:tcPr>
            <w:tcW w:w="2178" w:type="dxa"/>
          </w:tcPr>
          <w:p w:rsidR="00F21F00" w:rsidRPr="00A86347" w:rsidRDefault="00F21F00" w:rsidP="00A86347">
            <w:pPr>
              <w:spacing w:line="360" w:lineRule="auto"/>
              <w:rPr>
                <w:rFonts w:ascii="Arial" w:hAnsi="Arial" w:cs="Arial"/>
                <w:bCs/>
              </w:rPr>
            </w:pPr>
          </w:p>
        </w:tc>
      </w:tr>
      <w:tr w:rsidR="00EF0506" w:rsidRPr="00A86347">
        <w:tc>
          <w:tcPr>
            <w:tcW w:w="3078" w:type="dxa"/>
          </w:tcPr>
          <w:p w:rsidR="001145E7" w:rsidRPr="00A86347" w:rsidRDefault="001145E7" w:rsidP="00A86347">
            <w:pPr>
              <w:spacing w:line="360" w:lineRule="auto"/>
              <w:rPr>
                <w:rFonts w:ascii="Arial" w:hAnsi="Arial" w:cs="Arial"/>
                <w:bCs/>
              </w:rPr>
            </w:pPr>
            <w:r w:rsidRPr="00A86347">
              <w:rPr>
                <w:rFonts w:ascii="Arial" w:hAnsi="Arial" w:cs="Arial"/>
                <w:bCs/>
              </w:rPr>
              <w:t>Triamcinolone acetonide</w:t>
            </w:r>
          </w:p>
          <w:p w:rsidR="00EF0506" w:rsidRPr="00A86347" w:rsidRDefault="00EF0506" w:rsidP="00A86347">
            <w:pPr>
              <w:spacing w:line="360" w:lineRule="auto"/>
              <w:rPr>
                <w:rFonts w:ascii="Arial" w:hAnsi="Arial" w:cs="Arial"/>
                <w:bCs/>
              </w:rPr>
            </w:pPr>
          </w:p>
        </w:tc>
        <w:tc>
          <w:tcPr>
            <w:tcW w:w="1980" w:type="dxa"/>
          </w:tcPr>
          <w:p w:rsidR="00EF0506" w:rsidRPr="00A86347" w:rsidRDefault="001145E7" w:rsidP="00A86347">
            <w:pPr>
              <w:spacing w:line="360" w:lineRule="auto"/>
              <w:rPr>
                <w:rFonts w:ascii="Arial" w:hAnsi="Arial" w:cs="Arial"/>
                <w:bCs/>
              </w:rPr>
            </w:pPr>
            <w:r w:rsidRPr="00A86347">
              <w:rPr>
                <w:rFonts w:ascii="Arial" w:hAnsi="Arial" w:cs="Arial"/>
                <w:bCs/>
              </w:rPr>
              <w:t>0.1%</w:t>
            </w:r>
          </w:p>
        </w:tc>
        <w:tc>
          <w:tcPr>
            <w:tcW w:w="2340" w:type="dxa"/>
          </w:tcPr>
          <w:p w:rsidR="00EF0506" w:rsidRPr="00A86347" w:rsidRDefault="001145E7" w:rsidP="00A86347">
            <w:pPr>
              <w:spacing w:line="360" w:lineRule="auto"/>
              <w:rPr>
                <w:rFonts w:ascii="Arial" w:hAnsi="Arial" w:cs="Arial"/>
                <w:bCs/>
              </w:rPr>
            </w:pPr>
            <w:r w:rsidRPr="00A86347">
              <w:rPr>
                <w:rFonts w:ascii="Arial" w:hAnsi="Arial" w:cs="Arial"/>
                <w:bCs/>
              </w:rPr>
              <w:t>Lotion</w:t>
            </w:r>
          </w:p>
        </w:tc>
        <w:tc>
          <w:tcPr>
            <w:tcW w:w="2178" w:type="dxa"/>
          </w:tcPr>
          <w:p w:rsidR="00EF0506" w:rsidRPr="00A86347" w:rsidRDefault="00EF0506" w:rsidP="00A86347">
            <w:pPr>
              <w:spacing w:line="360" w:lineRule="auto"/>
              <w:rPr>
                <w:rFonts w:ascii="Arial" w:hAnsi="Arial" w:cs="Arial"/>
                <w:bCs/>
              </w:rPr>
            </w:pPr>
          </w:p>
        </w:tc>
      </w:tr>
      <w:tr w:rsidR="001145E7" w:rsidRPr="00A86347">
        <w:tc>
          <w:tcPr>
            <w:tcW w:w="9576" w:type="dxa"/>
            <w:gridSpan w:val="4"/>
          </w:tcPr>
          <w:p w:rsidR="001145E7" w:rsidRPr="00A86347" w:rsidRDefault="001145E7" w:rsidP="00A86347">
            <w:pPr>
              <w:spacing w:line="360" w:lineRule="auto"/>
              <w:rPr>
                <w:rFonts w:ascii="Arial" w:hAnsi="Arial" w:cs="Arial"/>
                <w:bCs/>
              </w:rPr>
            </w:pPr>
            <w:r w:rsidRPr="00A86347">
              <w:rPr>
                <w:rFonts w:ascii="Arial" w:hAnsi="Arial" w:cs="Arial"/>
                <w:bCs/>
              </w:rPr>
              <w:t>Low Potency</w:t>
            </w:r>
          </w:p>
        </w:tc>
      </w:tr>
      <w:tr w:rsidR="00EF0506" w:rsidRPr="00A86347">
        <w:tc>
          <w:tcPr>
            <w:tcW w:w="3078" w:type="dxa"/>
          </w:tcPr>
          <w:p w:rsidR="001145E7" w:rsidRPr="00A86347" w:rsidRDefault="001145E7" w:rsidP="00A86347">
            <w:pPr>
              <w:spacing w:line="360" w:lineRule="auto"/>
              <w:rPr>
                <w:rFonts w:ascii="Arial" w:hAnsi="Arial" w:cs="Arial"/>
                <w:bCs/>
              </w:rPr>
            </w:pPr>
            <w:r w:rsidRPr="00A86347">
              <w:rPr>
                <w:rFonts w:ascii="Arial" w:hAnsi="Arial" w:cs="Arial"/>
                <w:bCs/>
              </w:rPr>
              <w:t>Desonide</w:t>
            </w:r>
          </w:p>
          <w:p w:rsidR="00EF0506" w:rsidRPr="00A86347" w:rsidRDefault="00EF0506" w:rsidP="00A86347">
            <w:pPr>
              <w:spacing w:line="360" w:lineRule="auto"/>
              <w:rPr>
                <w:rFonts w:ascii="Arial" w:hAnsi="Arial" w:cs="Arial"/>
                <w:bCs/>
              </w:rPr>
            </w:pPr>
          </w:p>
        </w:tc>
        <w:tc>
          <w:tcPr>
            <w:tcW w:w="1980" w:type="dxa"/>
          </w:tcPr>
          <w:p w:rsidR="00EF0506" w:rsidRPr="00A86347" w:rsidRDefault="001145E7" w:rsidP="00A86347">
            <w:pPr>
              <w:spacing w:line="360" w:lineRule="auto"/>
              <w:rPr>
                <w:rFonts w:ascii="Arial" w:hAnsi="Arial" w:cs="Arial"/>
                <w:bCs/>
              </w:rPr>
            </w:pPr>
            <w:r w:rsidRPr="00A86347">
              <w:rPr>
                <w:rFonts w:ascii="Arial" w:hAnsi="Arial" w:cs="Arial"/>
                <w:bCs/>
              </w:rPr>
              <w:t>0.05%</w:t>
            </w:r>
          </w:p>
        </w:tc>
        <w:tc>
          <w:tcPr>
            <w:tcW w:w="2340" w:type="dxa"/>
          </w:tcPr>
          <w:p w:rsidR="00EF0506" w:rsidRPr="00A86347" w:rsidRDefault="001145E7" w:rsidP="00A86347">
            <w:pPr>
              <w:spacing w:line="360" w:lineRule="auto"/>
              <w:rPr>
                <w:rFonts w:ascii="Arial" w:hAnsi="Arial" w:cs="Arial"/>
                <w:bCs/>
              </w:rPr>
            </w:pPr>
            <w:r w:rsidRPr="00A86347">
              <w:rPr>
                <w:rFonts w:ascii="Arial" w:hAnsi="Arial" w:cs="Arial"/>
                <w:bCs/>
              </w:rPr>
              <w:t>Cream</w:t>
            </w:r>
          </w:p>
        </w:tc>
        <w:tc>
          <w:tcPr>
            <w:tcW w:w="2178" w:type="dxa"/>
          </w:tcPr>
          <w:p w:rsidR="00EF0506" w:rsidRPr="00A86347" w:rsidRDefault="00EF0506" w:rsidP="00A86347">
            <w:pPr>
              <w:spacing w:line="360" w:lineRule="auto"/>
              <w:rPr>
                <w:rFonts w:ascii="Arial" w:hAnsi="Arial" w:cs="Arial"/>
                <w:bCs/>
              </w:rPr>
            </w:pPr>
          </w:p>
        </w:tc>
      </w:tr>
      <w:tr w:rsidR="001145E7" w:rsidRPr="00A86347">
        <w:tc>
          <w:tcPr>
            <w:tcW w:w="3078" w:type="dxa"/>
          </w:tcPr>
          <w:p w:rsidR="001145E7" w:rsidRPr="00A86347" w:rsidRDefault="001145E7" w:rsidP="00A86347">
            <w:pPr>
              <w:spacing w:line="360" w:lineRule="auto"/>
              <w:rPr>
                <w:rFonts w:ascii="Arial" w:hAnsi="Arial" w:cs="Arial"/>
                <w:bCs/>
              </w:rPr>
            </w:pPr>
            <w:r w:rsidRPr="00A86347">
              <w:rPr>
                <w:rFonts w:ascii="Arial" w:hAnsi="Arial" w:cs="Arial"/>
                <w:bCs/>
              </w:rPr>
              <w:t>Fluocinolone acetonide</w:t>
            </w:r>
          </w:p>
          <w:p w:rsidR="001145E7" w:rsidRPr="00A86347" w:rsidRDefault="001145E7" w:rsidP="00A86347">
            <w:pPr>
              <w:spacing w:line="360" w:lineRule="auto"/>
              <w:rPr>
                <w:rFonts w:ascii="Arial" w:hAnsi="Arial" w:cs="Arial"/>
                <w:bCs/>
              </w:rPr>
            </w:pPr>
          </w:p>
        </w:tc>
        <w:tc>
          <w:tcPr>
            <w:tcW w:w="1980" w:type="dxa"/>
          </w:tcPr>
          <w:p w:rsidR="001145E7" w:rsidRPr="00A86347" w:rsidRDefault="001145E7" w:rsidP="00A86347">
            <w:pPr>
              <w:spacing w:line="360" w:lineRule="auto"/>
              <w:rPr>
                <w:rFonts w:ascii="Arial" w:hAnsi="Arial" w:cs="Arial"/>
                <w:bCs/>
              </w:rPr>
            </w:pPr>
            <w:r w:rsidRPr="00A86347">
              <w:rPr>
                <w:rFonts w:ascii="Arial" w:hAnsi="Arial" w:cs="Arial"/>
                <w:bCs/>
              </w:rPr>
              <w:t>0.01%</w:t>
            </w:r>
          </w:p>
        </w:tc>
        <w:tc>
          <w:tcPr>
            <w:tcW w:w="2340" w:type="dxa"/>
          </w:tcPr>
          <w:p w:rsidR="001145E7" w:rsidRPr="00A86347" w:rsidRDefault="001145E7" w:rsidP="00A86347">
            <w:pPr>
              <w:spacing w:line="360" w:lineRule="auto"/>
              <w:rPr>
                <w:rFonts w:ascii="Arial" w:hAnsi="Arial" w:cs="Arial"/>
                <w:bCs/>
              </w:rPr>
            </w:pPr>
            <w:r w:rsidRPr="00A86347">
              <w:rPr>
                <w:rFonts w:ascii="Arial" w:hAnsi="Arial" w:cs="Arial"/>
                <w:bCs/>
              </w:rPr>
              <w:t>Cream, oil, shampoo, solution</w:t>
            </w:r>
          </w:p>
          <w:p w:rsidR="001145E7" w:rsidRPr="00A86347" w:rsidRDefault="001145E7" w:rsidP="00A86347">
            <w:pPr>
              <w:spacing w:line="360" w:lineRule="auto"/>
              <w:rPr>
                <w:rFonts w:ascii="Arial" w:hAnsi="Arial" w:cs="Arial"/>
                <w:bCs/>
              </w:rPr>
            </w:pPr>
          </w:p>
        </w:tc>
        <w:tc>
          <w:tcPr>
            <w:tcW w:w="2178" w:type="dxa"/>
          </w:tcPr>
          <w:p w:rsidR="001145E7" w:rsidRPr="00A86347" w:rsidRDefault="00A420A6" w:rsidP="00A86347">
            <w:pPr>
              <w:spacing w:line="360" w:lineRule="auto"/>
              <w:rPr>
                <w:rFonts w:ascii="Arial" w:hAnsi="Arial" w:cs="Arial"/>
                <w:bCs/>
              </w:rPr>
            </w:pPr>
            <w:r w:rsidRPr="00A86347">
              <w:rPr>
                <w:rFonts w:ascii="Arial" w:hAnsi="Arial" w:cs="Arial"/>
                <w:bCs/>
              </w:rPr>
              <w:t>Helpful for scalp lesions</w:t>
            </w:r>
          </w:p>
        </w:tc>
      </w:tr>
      <w:tr w:rsidR="00F21F00" w:rsidRPr="00A86347">
        <w:tc>
          <w:tcPr>
            <w:tcW w:w="3078" w:type="dxa"/>
          </w:tcPr>
          <w:p w:rsidR="00F21F00" w:rsidRPr="00A86347" w:rsidRDefault="00F21F00" w:rsidP="00A86347">
            <w:pPr>
              <w:spacing w:line="360" w:lineRule="auto"/>
              <w:rPr>
                <w:rFonts w:ascii="Arial" w:hAnsi="Arial" w:cs="Arial"/>
                <w:bCs/>
              </w:rPr>
            </w:pPr>
            <w:r w:rsidRPr="00A86347">
              <w:rPr>
                <w:rFonts w:ascii="Arial" w:hAnsi="Arial" w:cs="Arial"/>
                <w:bCs/>
              </w:rPr>
              <w:t>Hydrocortisone (OTC)</w:t>
            </w:r>
          </w:p>
          <w:p w:rsidR="00F21F00" w:rsidRPr="00A86347" w:rsidRDefault="00F21F00" w:rsidP="00A86347">
            <w:pPr>
              <w:spacing w:line="360" w:lineRule="auto"/>
              <w:rPr>
                <w:rFonts w:ascii="Arial" w:hAnsi="Arial" w:cs="Arial"/>
                <w:bCs/>
              </w:rPr>
            </w:pPr>
          </w:p>
        </w:tc>
        <w:tc>
          <w:tcPr>
            <w:tcW w:w="1980" w:type="dxa"/>
          </w:tcPr>
          <w:p w:rsidR="00F21F00" w:rsidRPr="00A86347" w:rsidRDefault="00F21F00" w:rsidP="00A86347">
            <w:pPr>
              <w:spacing w:line="360" w:lineRule="auto"/>
              <w:rPr>
                <w:rFonts w:ascii="Arial" w:hAnsi="Arial" w:cs="Arial"/>
                <w:bCs/>
              </w:rPr>
            </w:pPr>
            <w:r w:rsidRPr="00A86347">
              <w:rPr>
                <w:rFonts w:ascii="Arial" w:hAnsi="Arial" w:cs="Arial"/>
                <w:bCs/>
              </w:rPr>
              <w:t>1%</w:t>
            </w:r>
          </w:p>
        </w:tc>
        <w:tc>
          <w:tcPr>
            <w:tcW w:w="2340" w:type="dxa"/>
          </w:tcPr>
          <w:p w:rsidR="00F21F00" w:rsidRPr="00A86347" w:rsidRDefault="00F21F00" w:rsidP="00A86347">
            <w:pPr>
              <w:spacing w:line="360" w:lineRule="auto"/>
              <w:rPr>
                <w:rFonts w:ascii="Arial" w:hAnsi="Arial" w:cs="Arial"/>
                <w:bCs/>
              </w:rPr>
            </w:pPr>
            <w:r w:rsidRPr="00A86347">
              <w:rPr>
                <w:rFonts w:ascii="Arial" w:hAnsi="Arial" w:cs="Arial"/>
                <w:bCs/>
              </w:rPr>
              <w:t>Cream, lotion</w:t>
            </w:r>
          </w:p>
        </w:tc>
        <w:tc>
          <w:tcPr>
            <w:tcW w:w="2178" w:type="dxa"/>
          </w:tcPr>
          <w:p w:rsidR="00F21F00" w:rsidRPr="00A86347" w:rsidRDefault="00F21F00" w:rsidP="00A86347">
            <w:pPr>
              <w:spacing w:line="360" w:lineRule="auto"/>
              <w:rPr>
                <w:rFonts w:ascii="Arial" w:hAnsi="Arial" w:cs="Arial"/>
                <w:bCs/>
              </w:rPr>
            </w:pPr>
          </w:p>
        </w:tc>
      </w:tr>
      <w:tr w:rsidR="001145E7" w:rsidRPr="00A86347">
        <w:tc>
          <w:tcPr>
            <w:tcW w:w="3078" w:type="dxa"/>
          </w:tcPr>
          <w:p w:rsidR="00A420A6" w:rsidRPr="00A86347" w:rsidRDefault="00A420A6" w:rsidP="00A86347">
            <w:pPr>
              <w:spacing w:line="360" w:lineRule="auto"/>
              <w:rPr>
                <w:rFonts w:ascii="Arial" w:hAnsi="Arial" w:cs="Arial"/>
                <w:bCs/>
              </w:rPr>
            </w:pPr>
            <w:r w:rsidRPr="00A86347">
              <w:rPr>
                <w:rFonts w:ascii="Arial" w:hAnsi="Arial" w:cs="Arial"/>
                <w:bCs/>
              </w:rPr>
              <w:t>Triamcinolone acetonide</w:t>
            </w:r>
          </w:p>
          <w:p w:rsidR="001145E7" w:rsidRPr="00A86347" w:rsidRDefault="001145E7" w:rsidP="00A86347">
            <w:pPr>
              <w:spacing w:line="360" w:lineRule="auto"/>
              <w:rPr>
                <w:rFonts w:ascii="Arial" w:hAnsi="Arial" w:cs="Arial"/>
                <w:bCs/>
              </w:rPr>
            </w:pPr>
          </w:p>
        </w:tc>
        <w:tc>
          <w:tcPr>
            <w:tcW w:w="1980" w:type="dxa"/>
          </w:tcPr>
          <w:p w:rsidR="001145E7" w:rsidRPr="00A86347" w:rsidRDefault="00A420A6" w:rsidP="00A86347">
            <w:pPr>
              <w:spacing w:line="360" w:lineRule="auto"/>
              <w:rPr>
                <w:rFonts w:ascii="Arial" w:hAnsi="Arial" w:cs="Arial"/>
                <w:bCs/>
              </w:rPr>
            </w:pPr>
            <w:r w:rsidRPr="00A86347">
              <w:rPr>
                <w:rFonts w:ascii="Arial" w:hAnsi="Arial" w:cs="Arial"/>
                <w:bCs/>
              </w:rPr>
              <w:t>0.1%</w:t>
            </w:r>
          </w:p>
        </w:tc>
        <w:tc>
          <w:tcPr>
            <w:tcW w:w="2340" w:type="dxa"/>
          </w:tcPr>
          <w:p w:rsidR="001145E7" w:rsidRPr="00A86347" w:rsidRDefault="00A420A6" w:rsidP="00A86347">
            <w:pPr>
              <w:spacing w:line="360" w:lineRule="auto"/>
              <w:rPr>
                <w:rFonts w:ascii="Arial" w:hAnsi="Arial" w:cs="Arial"/>
                <w:bCs/>
              </w:rPr>
            </w:pPr>
            <w:r w:rsidRPr="00A86347">
              <w:rPr>
                <w:rFonts w:ascii="Arial" w:hAnsi="Arial" w:cs="Arial"/>
                <w:bCs/>
              </w:rPr>
              <w:t>Cream</w:t>
            </w:r>
          </w:p>
        </w:tc>
        <w:tc>
          <w:tcPr>
            <w:tcW w:w="2178" w:type="dxa"/>
          </w:tcPr>
          <w:p w:rsidR="001145E7" w:rsidRPr="00A86347" w:rsidRDefault="001145E7" w:rsidP="00A86347">
            <w:pPr>
              <w:spacing w:line="360" w:lineRule="auto"/>
              <w:rPr>
                <w:rFonts w:ascii="Arial" w:hAnsi="Arial" w:cs="Arial"/>
                <w:bCs/>
              </w:rPr>
            </w:pPr>
          </w:p>
        </w:tc>
      </w:tr>
    </w:tbl>
    <w:p w:rsidR="00EF0506" w:rsidRPr="00A86347" w:rsidRDefault="00EF0506" w:rsidP="00A86347">
      <w:pPr>
        <w:spacing w:after="0" w:line="360" w:lineRule="auto"/>
        <w:rPr>
          <w:rFonts w:ascii="Arial" w:hAnsi="Arial" w:cs="Arial"/>
          <w:bCs/>
        </w:rPr>
      </w:pPr>
    </w:p>
    <w:p w:rsidR="00A420A6" w:rsidRPr="00A86347" w:rsidRDefault="00A420A6" w:rsidP="00A86347">
      <w:pPr>
        <w:spacing w:after="0" w:line="360" w:lineRule="auto"/>
        <w:rPr>
          <w:rFonts w:ascii="Arial" w:hAnsi="Arial" w:cs="Arial"/>
          <w:bCs/>
        </w:rPr>
      </w:pPr>
      <w:r w:rsidRPr="00A86347">
        <w:rPr>
          <w:rFonts w:ascii="Arial" w:hAnsi="Arial" w:cs="Arial"/>
          <w:b/>
          <w:bCs/>
        </w:rPr>
        <w:t>Additional Topical Therapy for Consideration</w:t>
      </w:r>
      <w:r w:rsidRPr="00A86347">
        <w:rPr>
          <w:rFonts w:ascii="Arial" w:hAnsi="Arial" w:cs="Arial"/>
          <w:bCs/>
        </w:rPr>
        <w:t>:</w:t>
      </w:r>
    </w:p>
    <w:p w:rsidR="00017CA9" w:rsidRPr="00A86347" w:rsidRDefault="00017CA9" w:rsidP="00A86347">
      <w:pPr>
        <w:spacing w:after="0" w:line="360" w:lineRule="auto"/>
        <w:rPr>
          <w:rFonts w:ascii="Arial" w:hAnsi="Arial" w:cs="Arial"/>
          <w:b/>
          <w:bCs/>
        </w:rPr>
      </w:pPr>
      <w:r w:rsidRPr="00A86347">
        <w:rPr>
          <w:rFonts w:ascii="Arial" w:hAnsi="Arial" w:cs="Arial"/>
          <w:b/>
          <w:bCs/>
        </w:rPr>
        <w:t>Topical Calcineurin inhibitors:</w:t>
      </w:r>
    </w:p>
    <w:p w:rsidR="00017CA9" w:rsidRPr="00A86347" w:rsidRDefault="00017CA9" w:rsidP="00A86347">
      <w:pPr>
        <w:spacing w:after="0" w:line="360" w:lineRule="auto"/>
        <w:rPr>
          <w:rFonts w:ascii="Arial" w:hAnsi="Arial" w:cs="Arial"/>
        </w:rPr>
      </w:pPr>
      <w:r w:rsidRPr="00A86347">
        <w:rPr>
          <w:rFonts w:ascii="Arial" w:hAnsi="Arial" w:cs="Arial"/>
        </w:rPr>
        <w:t>Tacrolimus (0.03%, 0.1% cream/ointment): App</w:t>
      </w:r>
      <w:r w:rsidR="00E0305C" w:rsidRPr="00A86347">
        <w:rPr>
          <w:rFonts w:ascii="Arial" w:hAnsi="Arial" w:cs="Arial"/>
        </w:rPr>
        <w:t xml:space="preserve">ly to affected area two times a </w:t>
      </w:r>
      <w:r w:rsidR="009A69A6">
        <w:rPr>
          <w:rFonts w:ascii="Arial" w:hAnsi="Arial" w:cs="Arial"/>
        </w:rPr>
        <w:t xml:space="preserve">day. Consider </w:t>
      </w:r>
      <w:r w:rsidRPr="00A86347">
        <w:rPr>
          <w:rFonts w:ascii="Arial" w:hAnsi="Arial" w:cs="Arial"/>
        </w:rPr>
        <w:t>0.03% strength in pediatric patients only.</w:t>
      </w:r>
    </w:p>
    <w:p w:rsidR="00017CA9" w:rsidRPr="00A86347" w:rsidRDefault="00017CA9" w:rsidP="00A86347">
      <w:pPr>
        <w:spacing w:after="0" w:line="360" w:lineRule="auto"/>
        <w:rPr>
          <w:rFonts w:ascii="Arial" w:hAnsi="Arial" w:cs="Arial"/>
        </w:rPr>
      </w:pPr>
      <w:r w:rsidRPr="00A86347">
        <w:rPr>
          <w:rFonts w:ascii="Arial" w:hAnsi="Arial" w:cs="Arial"/>
        </w:rPr>
        <w:t>Pimecrolimus (1% cream): Apply to affected area two times a day.</w:t>
      </w:r>
    </w:p>
    <w:p w:rsidR="00017CA9" w:rsidRPr="00A86347" w:rsidRDefault="00017CA9" w:rsidP="00A86347">
      <w:pPr>
        <w:spacing w:after="0" w:line="360" w:lineRule="auto"/>
        <w:rPr>
          <w:rFonts w:ascii="Arial" w:hAnsi="Arial" w:cs="Arial"/>
          <w:b/>
          <w:bCs/>
        </w:rPr>
      </w:pPr>
      <w:r w:rsidRPr="00A86347">
        <w:rPr>
          <w:rFonts w:ascii="Arial" w:hAnsi="Arial" w:cs="Arial"/>
          <w:b/>
          <w:bCs/>
        </w:rPr>
        <w:t>Antipruritic agents:</w:t>
      </w:r>
    </w:p>
    <w:p w:rsidR="00017CA9" w:rsidRPr="00A86347" w:rsidRDefault="00017CA9" w:rsidP="00A86347">
      <w:pPr>
        <w:spacing w:after="0" w:line="360" w:lineRule="auto"/>
        <w:rPr>
          <w:rFonts w:ascii="Arial" w:hAnsi="Arial" w:cs="Arial"/>
        </w:rPr>
      </w:pPr>
      <w:r w:rsidRPr="00A86347">
        <w:rPr>
          <w:rFonts w:ascii="Arial" w:hAnsi="Arial" w:cs="Arial"/>
        </w:rPr>
        <w:t>Hydrocortisone acetate (1.</w:t>
      </w:r>
      <w:r w:rsidR="009A69A6">
        <w:rPr>
          <w:rFonts w:ascii="Arial" w:hAnsi="Arial" w:cs="Arial"/>
        </w:rPr>
        <w:t xml:space="preserve">0% or 2.5%)/Pramoxine HCL (1.0% </w:t>
      </w:r>
      <w:r w:rsidRPr="00A86347">
        <w:rPr>
          <w:rFonts w:ascii="Arial" w:hAnsi="Arial" w:cs="Arial"/>
        </w:rPr>
        <w:t>lotion/cream/ointment): Apply to pruritic areas two times a day.</w:t>
      </w:r>
    </w:p>
    <w:p w:rsidR="00017CA9" w:rsidRPr="00A86347" w:rsidRDefault="00017CA9" w:rsidP="00A86347">
      <w:pPr>
        <w:spacing w:after="0" w:line="360" w:lineRule="auto"/>
        <w:rPr>
          <w:rFonts w:ascii="Arial" w:hAnsi="Arial" w:cs="Arial"/>
        </w:rPr>
      </w:pPr>
      <w:r w:rsidRPr="00A86347">
        <w:rPr>
          <w:rFonts w:ascii="Arial" w:hAnsi="Arial" w:cs="Arial"/>
        </w:rPr>
        <w:t>Pramoxine HCL (1.0% cream/liquid/lotion/oint</w:t>
      </w:r>
      <w:r w:rsidR="009A69A6">
        <w:rPr>
          <w:rFonts w:ascii="Arial" w:hAnsi="Arial" w:cs="Arial"/>
        </w:rPr>
        <w:t xml:space="preserve">ment): Apply two times a day to </w:t>
      </w:r>
      <w:r w:rsidRPr="00A86347">
        <w:rPr>
          <w:rFonts w:ascii="Arial" w:hAnsi="Arial" w:cs="Arial"/>
        </w:rPr>
        <w:t>pruritic areas</w:t>
      </w:r>
    </w:p>
    <w:p w:rsidR="00E0305C" w:rsidRPr="00A86347" w:rsidRDefault="00E0305C" w:rsidP="00A86347">
      <w:pPr>
        <w:spacing w:after="0" w:line="360" w:lineRule="auto"/>
        <w:rPr>
          <w:rFonts w:ascii="Arial" w:hAnsi="Arial" w:cs="Arial"/>
        </w:rPr>
      </w:pPr>
      <w:r w:rsidRPr="00A86347">
        <w:rPr>
          <w:rFonts w:ascii="Arial" w:hAnsi="Arial" w:cs="Arial"/>
        </w:rPr>
        <w:t>Camphor/Menthol (0.5%/0.5% lotion):  Apply as needed to pruritic areas</w:t>
      </w:r>
      <w:r w:rsidR="00C912D4">
        <w:rPr>
          <w:rFonts w:ascii="Arial" w:hAnsi="Arial" w:cs="Arial"/>
        </w:rPr>
        <w:t>.</w:t>
      </w:r>
    </w:p>
    <w:p w:rsidR="00017CA9" w:rsidRPr="002C0B1C" w:rsidRDefault="00277E32" w:rsidP="00A86347">
      <w:pPr>
        <w:spacing w:after="0" w:line="360" w:lineRule="auto"/>
        <w:rPr>
          <w:rFonts w:ascii="Arial" w:hAnsi="Arial" w:cs="Arial"/>
          <w:b/>
          <w:bCs/>
          <w:sz w:val="24"/>
        </w:rPr>
      </w:pPr>
      <w:r w:rsidRPr="00A86347">
        <w:rPr>
          <w:rFonts w:ascii="Arial" w:hAnsi="Arial" w:cs="Arial"/>
          <w:b/>
          <w:bCs/>
        </w:rPr>
        <w:br w:type="page"/>
      </w:r>
      <w:r w:rsidR="002C0B1C" w:rsidRPr="002C0B1C">
        <w:rPr>
          <w:rFonts w:ascii="Arial" w:hAnsi="Arial" w:cs="Arial"/>
          <w:b/>
          <w:bCs/>
          <w:sz w:val="24"/>
        </w:rPr>
        <w:t xml:space="preserve">Supplement 3 - </w:t>
      </w:r>
      <w:r w:rsidR="00017CA9" w:rsidRPr="002C0B1C">
        <w:rPr>
          <w:rFonts w:ascii="Arial" w:hAnsi="Arial" w:cs="Arial"/>
          <w:b/>
          <w:bCs/>
          <w:sz w:val="24"/>
        </w:rPr>
        <w:t xml:space="preserve">Specific Dispensary Directions for </w:t>
      </w:r>
      <w:r w:rsidR="00DC3118">
        <w:rPr>
          <w:rFonts w:ascii="Arial" w:hAnsi="Arial" w:cs="Arial"/>
          <w:b/>
          <w:bCs/>
          <w:sz w:val="24"/>
        </w:rPr>
        <w:t xml:space="preserve">Chronic GVHD of the </w:t>
      </w:r>
      <w:r w:rsidR="00017CA9" w:rsidRPr="002C0B1C">
        <w:rPr>
          <w:rFonts w:ascii="Arial" w:hAnsi="Arial" w:cs="Arial"/>
          <w:b/>
          <w:bCs/>
          <w:sz w:val="24"/>
        </w:rPr>
        <w:t xml:space="preserve">Mouth and Oral </w:t>
      </w:r>
      <w:r w:rsidR="00DC3118">
        <w:rPr>
          <w:rFonts w:ascii="Arial" w:hAnsi="Arial" w:cs="Arial"/>
          <w:b/>
          <w:bCs/>
          <w:sz w:val="24"/>
        </w:rPr>
        <w:t xml:space="preserve">Tissues </w:t>
      </w:r>
    </w:p>
    <w:p w:rsidR="003B71DA" w:rsidRPr="00A86347" w:rsidRDefault="003B71DA" w:rsidP="006339E1">
      <w:pPr>
        <w:spacing w:after="0" w:line="360" w:lineRule="auto"/>
        <w:rPr>
          <w:rFonts w:ascii="Arial" w:hAnsi="Arial" w:cs="Arial"/>
          <w:bCs/>
        </w:rPr>
      </w:pPr>
      <w:r w:rsidRPr="00A86347">
        <w:rPr>
          <w:rFonts w:ascii="Arial" w:hAnsi="Arial" w:cs="Arial"/>
          <w:b/>
          <w:bCs/>
        </w:rPr>
        <w:t>Generalized sensitivity</w:t>
      </w:r>
      <w:r w:rsidR="00DC3118">
        <w:rPr>
          <w:rFonts w:ascii="Arial" w:hAnsi="Arial" w:cs="Arial"/>
          <w:b/>
          <w:bCs/>
        </w:rPr>
        <w:t xml:space="preserve"> or mucosal erosions/ulcers</w:t>
      </w:r>
      <w:r w:rsidRPr="00A86347">
        <w:rPr>
          <w:rFonts w:ascii="Arial" w:hAnsi="Arial" w:cs="Arial"/>
          <w:b/>
          <w:bCs/>
        </w:rPr>
        <w:t xml:space="preserve">:  </w:t>
      </w:r>
      <w:r w:rsidR="00A86347" w:rsidRPr="00A86347">
        <w:rPr>
          <w:rFonts w:ascii="Arial" w:hAnsi="Arial" w:cs="Arial"/>
          <w:bCs/>
        </w:rPr>
        <w:t>Steroids solutions</w:t>
      </w:r>
      <w:r w:rsidR="00A86347">
        <w:rPr>
          <w:rFonts w:ascii="Arial" w:hAnsi="Arial" w:cs="Arial"/>
          <w:b/>
          <w:bCs/>
        </w:rPr>
        <w:t xml:space="preserve"> </w:t>
      </w:r>
      <w:r w:rsidR="001A2A50">
        <w:rPr>
          <w:rFonts w:ascii="Arial" w:hAnsi="Arial" w:cs="Arial"/>
          <w:bCs/>
        </w:rPr>
        <w:t>–</w:t>
      </w:r>
      <w:r w:rsidR="00A86347">
        <w:rPr>
          <w:rFonts w:ascii="Arial" w:hAnsi="Arial" w:cs="Arial"/>
          <w:bCs/>
        </w:rPr>
        <w:t xml:space="preserve"> </w:t>
      </w:r>
      <w:r w:rsidR="00DC3118">
        <w:rPr>
          <w:rFonts w:ascii="Arial" w:hAnsi="Arial" w:cs="Arial"/>
          <w:bCs/>
        </w:rPr>
        <w:t xml:space="preserve">for most </w:t>
      </w:r>
      <w:r w:rsidR="001A2A50">
        <w:rPr>
          <w:rFonts w:ascii="Arial" w:hAnsi="Arial" w:cs="Arial"/>
          <w:bCs/>
        </w:rPr>
        <w:t xml:space="preserve">of the steroid </w:t>
      </w:r>
      <w:r w:rsidR="00DC3118">
        <w:rPr>
          <w:rFonts w:ascii="Arial" w:hAnsi="Arial" w:cs="Arial"/>
          <w:bCs/>
        </w:rPr>
        <w:t xml:space="preserve">or calcineurin inhibitor </w:t>
      </w:r>
      <w:r w:rsidR="001A2A50">
        <w:rPr>
          <w:rFonts w:ascii="Arial" w:hAnsi="Arial" w:cs="Arial"/>
          <w:bCs/>
        </w:rPr>
        <w:t>solutions (</w:t>
      </w:r>
      <w:r w:rsidR="00DC3118">
        <w:rPr>
          <w:rFonts w:ascii="Arial" w:hAnsi="Arial" w:cs="Arial"/>
          <w:bCs/>
        </w:rPr>
        <w:t>see Table</w:t>
      </w:r>
      <w:r w:rsidR="001A2A50">
        <w:rPr>
          <w:rFonts w:ascii="Arial" w:hAnsi="Arial" w:cs="Arial"/>
          <w:bCs/>
        </w:rPr>
        <w:t xml:space="preserve">) </w:t>
      </w:r>
      <w:r w:rsidR="00DC3118">
        <w:rPr>
          <w:rFonts w:ascii="Arial" w:hAnsi="Arial" w:cs="Arial"/>
          <w:bCs/>
        </w:rPr>
        <w:t xml:space="preserve">the instructions are to </w:t>
      </w:r>
      <w:r w:rsidR="001A2A50">
        <w:rPr>
          <w:rFonts w:ascii="Arial" w:hAnsi="Arial" w:cs="Arial"/>
          <w:bCs/>
        </w:rPr>
        <w:t>s</w:t>
      </w:r>
      <w:r w:rsidRPr="00A86347">
        <w:rPr>
          <w:rFonts w:ascii="Arial" w:hAnsi="Arial" w:cs="Arial"/>
          <w:bCs/>
        </w:rPr>
        <w:t xml:space="preserve">wish </w:t>
      </w:r>
      <w:r w:rsidR="001A2A50">
        <w:rPr>
          <w:rFonts w:ascii="Arial" w:hAnsi="Arial" w:cs="Arial"/>
          <w:bCs/>
        </w:rPr>
        <w:t xml:space="preserve">with </w:t>
      </w:r>
      <w:r w:rsidRPr="00A86347">
        <w:rPr>
          <w:rFonts w:ascii="Arial" w:hAnsi="Arial" w:cs="Arial"/>
          <w:bCs/>
        </w:rPr>
        <w:t>5 ml for 4-6 minut</w:t>
      </w:r>
      <w:r w:rsidR="00461F72">
        <w:rPr>
          <w:rFonts w:ascii="Arial" w:hAnsi="Arial" w:cs="Arial"/>
          <w:bCs/>
        </w:rPr>
        <w:t xml:space="preserve">es and spit out </w:t>
      </w:r>
      <w:r w:rsidR="00DC3118">
        <w:rPr>
          <w:rFonts w:ascii="Arial" w:hAnsi="Arial" w:cs="Arial"/>
          <w:bCs/>
        </w:rPr>
        <w:t xml:space="preserve">up to </w:t>
      </w:r>
      <w:r w:rsidR="00461F72">
        <w:rPr>
          <w:rFonts w:ascii="Arial" w:hAnsi="Arial" w:cs="Arial"/>
          <w:bCs/>
        </w:rPr>
        <w:t>6 times a day</w:t>
      </w:r>
      <w:r w:rsidR="001A2A50">
        <w:rPr>
          <w:rFonts w:ascii="Arial" w:hAnsi="Arial" w:cs="Arial"/>
          <w:bCs/>
        </w:rPr>
        <w:t xml:space="preserve">. For budesonide </w:t>
      </w:r>
      <w:r w:rsidR="006339E1">
        <w:rPr>
          <w:rFonts w:ascii="Arial" w:hAnsi="Arial" w:cs="Arial"/>
          <w:bCs/>
        </w:rPr>
        <w:t>the</w:t>
      </w:r>
      <w:r w:rsidR="001A2A50">
        <w:rPr>
          <w:rFonts w:ascii="Arial" w:hAnsi="Arial" w:cs="Arial"/>
          <w:bCs/>
        </w:rPr>
        <w:t xml:space="preserve"> published</w:t>
      </w:r>
      <w:r w:rsidR="006339E1">
        <w:rPr>
          <w:rFonts w:ascii="Arial" w:hAnsi="Arial" w:cs="Arial"/>
          <w:bCs/>
        </w:rPr>
        <w:t xml:space="preserve"> duration of rinse is up to </w:t>
      </w:r>
      <w:r w:rsidR="00DC3118">
        <w:rPr>
          <w:rFonts w:ascii="Arial" w:hAnsi="Arial" w:cs="Arial"/>
          <w:bCs/>
        </w:rPr>
        <w:t>10-</w:t>
      </w:r>
      <w:r w:rsidR="006339E1">
        <w:rPr>
          <w:rFonts w:ascii="Arial" w:hAnsi="Arial" w:cs="Arial"/>
          <w:bCs/>
        </w:rPr>
        <w:t>15 min</w:t>
      </w:r>
      <w:r w:rsidR="00DC3118">
        <w:rPr>
          <w:rFonts w:ascii="Arial" w:hAnsi="Arial" w:cs="Arial"/>
          <w:bCs/>
        </w:rPr>
        <w:t>utes.</w:t>
      </w:r>
      <w:r w:rsidR="00461F72">
        <w:rPr>
          <w:rFonts w:ascii="Arial" w:hAnsi="Arial" w:cs="Arial"/>
          <w:bCs/>
        </w:rPr>
        <w:t xml:space="preserve">  Food </w:t>
      </w:r>
      <w:r w:rsidR="009A69A6">
        <w:rPr>
          <w:rFonts w:ascii="Arial" w:hAnsi="Arial" w:cs="Arial"/>
          <w:bCs/>
        </w:rPr>
        <w:t>or drink</w:t>
      </w:r>
      <w:r w:rsidRPr="00A86347">
        <w:rPr>
          <w:rFonts w:ascii="Arial" w:hAnsi="Arial" w:cs="Arial"/>
          <w:bCs/>
        </w:rPr>
        <w:t xml:space="preserve"> </w:t>
      </w:r>
      <w:r w:rsidR="00461F72">
        <w:rPr>
          <w:rFonts w:ascii="Arial" w:hAnsi="Arial" w:cs="Arial"/>
          <w:bCs/>
        </w:rPr>
        <w:t xml:space="preserve">should be avoided for </w:t>
      </w:r>
      <w:r w:rsidRPr="00A86347">
        <w:rPr>
          <w:rFonts w:ascii="Arial" w:hAnsi="Arial" w:cs="Arial"/>
          <w:bCs/>
        </w:rPr>
        <w:t xml:space="preserve">30 minutes afterwards.  Patients should be </w:t>
      </w:r>
      <w:r w:rsidR="001A2A50">
        <w:rPr>
          <w:rFonts w:ascii="Arial" w:hAnsi="Arial" w:cs="Arial"/>
          <w:bCs/>
        </w:rPr>
        <w:t>advised about the</w:t>
      </w:r>
      <w:r w:rsidRPr="00A86347">
        <w:rPr>
          <w:rFonts w:ascii="Arial" w:hAnsi="Arial" w:cs="Arial"/>
          <w:bCs/>
        </w:rPr>
        <w:t xml:space="preserve"> increased risk of oral candidiasis, and may consider co-treatment with nystatin for prevention.</w:t>
      </w:r>
    </w:p>
    <w:p w:rsidR="00A86347" w:rsidRDefault="00A86347" w:rsidP="00A86347">
      <w:pPr>
        <w:spacing w:after="0" w:line="360" w:lineRule="auto"/>
        <w:rPr>
          <w:rFonts w:ascii="Arial" w:hAnsi="Arial" w:cs="Arial"/>
          <w:b/>
          <w:bCs/>
        </w:rPr>
      </w:pPr>
    </w:p>
    <w:p w:rsidR="00A86347" w:rsidRDefault="00F960DE" w:rsidP="00A86347">
      <w:pPr>
        <w:spacing w:after="0" w:line="360" w:lineRule="auto"/>
        <w:rPr>
          <w:rFonts w:ascii="Arial" w:hAnsi="Arial" w:cs="Arial"/>
        </w:rPr>
      </w:pPr>
      <w:r>
        <w:rPr>
          <w:rFonts w:ascii="Arial" w:hAnsi="Arial" w:cs="Arial"/>
        </w:rPr>
        <w:t>Table: Examples for common topical preparations for oral cGVHD</w:t>
      </w:r>
    </w:p>
    <w:tbl>
      <w:tblPr>
        <w:tblStyle w:val="TableGrid"/>
        <w:tblW w:w="9270" w:type="dxa"/>
        <w:tblInd w:w="108" w:type="dxa"/>
        <w:tblLayout w:type="fixed"/>
        <w:tblLook w:val="04A0" w:firstRow="1" w:lastRow="0" w:firstColumn="1" w:lastColumn="0" w:noHBand="0" w:noVBand="1"/>
      </w:tblPr>
      <w:tblGrid>
        <w:gridCol w:w="1260"/>
        <w:gridCol w:w="1170"/>
        <w:gridCol w:w="2340"/>
        <w:gridCol w:w="1890"/>
        <w:gridCol w:w="1350"/>
        <w:gridCol w:w="1260"/>
      </w:tblGrid>
      <w:tr w:rsidR="002610AA" w:rsidRPr="00503074">
        <w:tc>
          <w:tcPr>
            <w:tcW w:w="1260" w:type="dxa"/>
          </w:tcPr>
          <w:p w:rsidR="002610AA" w:rsidRPr="00503074" w:rsidRDefault="002610AA" w:rsidP="00C912D4">
            <w:pPr>
              <w:pStyle w:val="ListParagraph"/>
              <w:ind w:left="90"/>
              <w:rPr>
                <w:sz w:val="18"/>
                <w:szCs w:val="18"/>
              </w:rPr>
            </w:pPr>
            <w:r>
              <w:rPr>
                <w:sz w:val="18"/>
                <w:szCs w:val="18"/>
              </w:rPr>
              <w:t>Preparation</w:t>
            </w:r>
          </w:p>
        </w:tc>
        <w:tc>
          <w:tcPr>
            <w:tcW w:w="1170" w:type="dxa"/>
          </w:tcPr>
          <w:p w:rsidR="002610AA" w:rsidRPr="00503074" w:rsidRDefault="002610AA" w:rsidP="00C912D4">
            <w:pPr>
              <w:pStyle w:val="ListParagraph"/>
              <w:ind w:left="90"/>
              <w:rPr>
                <w:sz w:val="18"/>
                <w:szCs w:val="18"/>
              </w:rPr>
            </w:pPr>
            <w:r>
              <w:rPr>
                <w:sz w:val="18"/>
                <w:szCs w:val="18"/>
              </w:rPr>
              <w:t>Family</w:t>
            </w:r>
          </w:p>
        </w:tc>
        <w:tc>
          <w:tcPr>
            <w:tcW w:w="2340" w:type="dxa"/>
          </w:tcPr>
          <w:p w:rsidR="002610AA" w:rsidRPr="00503074" w:rsidRDefault="002610AA" w:rsidP="00C912D4">
            <w:pPr>
              <w:pStyle w:val="ListParagraph"/>
              <w:ind w:left="90"/>
              <w:rPr>
                <w:sz w:val="18"/>
                <w:szCs w:val="18"/>
              </w:rPr>
            </w:pPr>
            <w:r w:rsidRPr="00503074">
              <w:rPr>
                <w:sz w:val="18"/>
                <w:szCs w:val="18"/>
              </w:rPr>
              <w:t>Drug</w:t>
            </w:r>
          </w:p>
        </w:tc>
        <w:tc>
          <w:tcPr>
            <w:tcW w:w="1890" w:type="dxa"/>
          </w:tcPr>
          <w:p w:rsidR="002610AA" w:rsidRPr="00503074" w:rsidRDefault="002610AA" w:rsidP="007555EF">
            <w:pPr>
              <w:pStyle w:val="ListParagraph"/>
              <w:ind w:left="72"/>
              <w:jc w:val="center"/>
              <w:rPr>
                <w:sz w:val="18"/>
                <w:szCs w:val="18"/>
              </w:rPr>
            </w:pPr>
            <w:r w:rsidRPr="00503074">
              <w:rPr>
                <w:sz w:val="18"/>
                <w:szCs w:val="18"/>
              </w:rPr>
              <w:t>Concentration</w:t>
            </w:r>
          </w:p>
        </w:tc>
        <w:tc>
          <w:tcPr>
            <w:tcW w:w="1350" w:type="dxa"/>
          </w:tcPr>
          <w:p w:rsidR="002610AA" w:rsidRPr="00503074" w:rsidRDefault="00846E1F" w:rsidP="00846E1F">
            <w:pPr>
              <w:pStyle w:val="ListParagraph"/>
              <w:ind w:left="166"/>
              <w:jc w:val="center"/>
              <w:rPr>
                <w:sz w:val="18"/>
                <w:szCs w:val="18"/>
              </w:rPr>
            </w:pPr>
            <w:r>
              <w:rPr>
                <w:sz w:val="18"/>
                <w:szCs w:val="18"/>
              </w:rPr>
              <w:t>D</w:t>
            </w:r>
            <w:r w:rsidR="002610AA">
              <w:rPr>
                <w:sz w:val="18"/>
                <w:szCs w:val="18"/>
              </w:rPr>
              <w:t>aily dose</w:t>
            </w:r>
          </w:p>
        </w:tc>
        <w:tc>
          <w:tcPr>
            <w:tcW w:w="1260" w:type="dxa"/>
          </w:tcPr>
          <w:p w:rsidR="002610AA" w:rsidRPr="00503074" w:rsidRDefault="002610AA" w:rsidP="00846E1F">
            <w:pPr>
              <w:pStyle w:val="ListParagraph"/>
              <w:ind w:left="0"/>
              <w:jc w:val="center"/>
              <w:rPr>
                <w:sz w:val="18"/>
                <w:szCs w:val="18"/>
              </w:rPr>
            </w:pPr>
            <w:r w:rsidRPr="00503074">
              <w:rPr>
                <w:sz w:val="18"/>
                <w:szCs w:val="18"/>
              </w:rPr>
              <w:t>Available commercially</w:t>
            </w:r>
            <w:r w:rsidR="00582D9E">
              <w:rPr>
                <w:sz w:val="18"/>
                <w:szCs w:val="18"/>
              </w:rPr>
              <w:t xml:space="preserve"> in the US</w:t>
            </w:r>
          </w:p>
        </w:tc>
      </w:tr>
      <w:tr w:rsidR="009B5300" w:rsidRPr="00503074">
        <w:tc>
          <w:tcPr>
            <w:tcW w:w="1260" w:type="dxa"/>
            <w:vMerge w:val="restart"/>
            <w:shd w:val="clear" w:color="auto" w:fill="auto"/>
          </w:tcPr>
          <w:p w:rsidR="009B5300" w:rsidRPr="00072A7E" w:rsidRDefault="009B5300" w:rsidP="00C912D4">
            <w:pPr>
              <w:pStyle w:val="ListParagraph"/>
              <w:spacing w:line="360" w:lineRule="auto"/>
              <w:ind w:left="90"/>
              <w:rPr>
                <w:sz w:val="18"/>
                <w:szCs w:val="18"/>
              </w:rPr>
            </w:pPr>
            <w:r w:rsidRPr="00072A7E">
              <w:rPr>
                <w:b/>
                <w:bCs/>
                <w:sz w:val="18"/>
                <w:szCs w:val="18"/>
              </w:rPr>
              <w:t>Solutions</w:t>
            </w:r>
          </w:p>
        </w:tc>
        <w:tc>
          <w:tcPr>
            <w:tcW w:w="1170" w:type="dxa"/>
            <w:vMerge w:val="restart"/>
          </w:tcPr>
          <w:p w:rsidR="009B5300" w:rsidRPr="00503074" w:rsidRDefault="009B5300" w:rsidP="00C912D4">
            <w:pPr>
              <w:pStyle w:val="ListParagraph"/>
              <w:spacing w:line="360" w:lineRule="auto"/>
              <w:ind w:left="90"/>
              <w:rPr>
                <w:sz w:val="18"/>
                <w:szCs w:val="18"/>
              </w:rPr>
            </w:pPr>
            <w:r>
              <w:rPr>
                <w:sz w:val="18"/>
                <w:szCs w:val="18"/>
              </w:rPr>
              <w:t>Steroids</w:t>
            </w:r>
          </w:p>
        </w:tc>
        <w:tc>
          <w:tcPr>
            <w:tcW w:w="2340" w:type="dxa"/>
          </w:tcPr>
          <w:p w:rsidR="009B5300" w:rsidRPr="00503074" w:rsidRDefault="009B5300" w:rsidP="00C912D4">
            <w:pPr>
              <w:pStyle w:val="ListParagraph"/>
              <w:spacing w:line="360" w:lineRule="auto"/>
              <w:ind w:left="90"/>
              <w:rPr>
                <w:sz w:val="18"/>
                <w:szCs w:val="18"/>
              </w:rPr>
            </w:pPr>
            <w:r w:rsidRPr="00503074">
              <w:rPr>
                <w:sz w:val="18"/>
                <w:szCs w:val="18"/>
              </w:rPr>
              <w:t>Dexamethasone</w:t>
            </w:r>
          </w:p>
        </w:tc>
        <w:tc>
          <w:tcPr>
            <w:tcW w:w="1890" w:type="dxa"/>
          </w:tcPr>
          <w:p w:rsidR="009B5300" w:rsidRPr="00503074" w:rsidRDefault="009B5300" w:rsidP="007555EF">
            <w:pPr>
              <w:pStyle w:val="ListParagraph"/>
              <w:spacing w:line="360" w:lineRule="auto"/>
              <w:ind w:left="72"/>
              <w:jc w:val="center"/>
              <w:rPr>
                <w:sz w:val="18"/>
                <w:szCs w:val="18"/>
              </w:rPr>
            </w:pPr>
            <w:r w:rsidRPr="00503074">
              <w:rPr>
                <w:sz w:val="18"/>
                <w:szCs w:val="18"/>
              </w:rPr>
              <w:t>0.1</w:t>
            </w:r>
            <w:r>
              <w:rPr>
                <w:sz w:val="18"/>
                <w:szCs w:val="18"/>
              </w:rPr>
              <w:t xml:space="preserve"> </w:t>
            </w:r>
            <w:r w:rsidRPr="00503074">
              <w:rPr>
                <w:sz w:val="18"/>
                <w:szCs w:val="18"/>
              </w:rPr>
              <w:t>mg/mL</w:t>
            </w:r>
            <w:r>
              <w:rPr>
                <w:sz w:val="18"/>
                <w:szCs w:val="18"/>
              </w:rPr>
              <w:t xml:space="preserve"> (0.01%)</w:t>
            </w:r>
          </w:p>
        </w:tc>
        <w:tc>
          <w:tcPr>
            <w:tcW w:w="1350" w:type="dxa"/>
          </w:tcPr>
          <w:p w:rsidR="009B5300" w:rsidRPr="00503074" w:rsidRDefault="009B5300" w:rsidP="00846E1F">
            <w:pPr>
              <w:pStyle w:val="ListParagraph"/>
              <w:spacing w:line="360" w:lineRule="auto"/>
              <w:ind w:left="166"/>
              <w:jc w:val="center"/>
              <w:rPr>
                <w:sz w:val="18"/>
                <w:szCs w:val="18"/>
              </w:rPr>
            </w:pPr>
            <w:r w:rsidRPr="00503074">
              <w:rPr>
                <w:sz w:val="18"/>
                <w:szCs w:val="18"/>
              </w:rPr>
              <w:t>10</w:t>
            </w:r>
            <w:r>
              <w:rPr>
                <w:sz w:val="18"/>
                <w:szCs w:val="18"/>
              </w:rPr>
              <w:t xml:space="preserve"> </w:t>
            </w:r>
            <w:r w:rsidRPr="00503074">
              <w:rPr>
                <w:sz w:val="18"/>
                <w:szCs w:val="18"/>
              </w:rPr>
              <w:t>mL x</w:t>
            </w:r>
            <w:r>
              <w:rPr>
                <w:sz w:val="18"/>
                <w:szCs w:val="18"/>
              </w:rPr>
              <w:t>3-</w:t>
            </w:r>
            <w:r w:rsidRPr="00503074">
              <w:rPr>
                <w:sz w:val="18"/>
                <w:szCs w:val="18"/>
              </w:rPr>
              <w:t>6/d</w:t>
            </w:r>
          </w:p>
        </w:tc>
        <w:tc>
          <w:tcPr>
            <w:tcW w:w="1260" w:type="dxa"/>
          </w:tcPr>
          <w:p w:rsidR="009B5300" w:rsidRPr="00503074" w:rsidRDefault="009B5300" w:rsidP="00846E1F">
            <w:pPr>
              <w:pStyle w:val="ListParagraph"/>
              <w:spacing w:line="360" w:lineRule="auto"/>
              <w:ind w:left="0"/>
              <w:jc w:val="center"/>
              <w:rPr>
                <w:sz w:val="18"/>
                <w:szCs w:val="18"/>
              </w:rPr>
            </w:pPr>
            <w:r w:rsidRPr="00503074">
              <w:rPr>
                <w:sz w:val="18"/>
                <w:szCs w:val="18"/>
              </w:rPr>
              <w:t>Yes</w:t>
            </w:r>
          </w:p>
        </w:tc>
      </w:tr>
      <w:tr w:rsidR="009B5300" w:rsidRPr="00503074">
        <w:tc>
          <w:tcPr>
            <w:tcW w:w="1260" w:type="dxa"/>
            <w:vMerge/>
            <w:shd w:val="clear" w:color="auto" w:fill="auto"/>
          </w:tcPr>
          <w:p w:rsidR="009B5300" w:rsidRPr="00072A7E" w:rsidRDefault="009B5300" w:rsidP="00C912D4">
            <w:pPr>
              <w:pStyle w:val="ListParagraph"/>
              <w:spacing w:line="360" w:lineRule="auto"/>
              <w:ind w:left="90"/>
              <w:rPr>
                <w:sz w:val="18"/>
                <w:szCs w:val="18"/>
              </w:rPr>
            </w:pPr>
          </w:p>
        </w:tc>
        <w:tc>
          <w:tcPr>
            <w:tcW w:w="1170" w:type="dxa"/>
            <w:vMerge/>
          </w:tcPr>
          <w:p w:rsidR="009B5300" w:rsidRPr="00503074" w:rsidRDefault="009B5300" w:rsidP="00C912D4">
            <w:pPr>
              <w:pStyle w:val="ListParagraph"/>
              <w:spacing w:line="360" w:lineRule="auto"/>
              <w:ind w:left="90"/>
              <w:rPr>
                <w:sz w:val="18"/>
                <w:szCs w:val="18"/>
              </w:rPr>
            </w:pPr>
          </w:p>
        </w:tc>
        <w:tc>
          <w:tcPr>
            <w:tcW w:w="2340" w:type="dxa"/>
          </w:tcPr>
          <w:p w:rsidR="009B5300" w:rsidRPr="000322EC" w:rsidRDefault="009B5300" w:rsidP="00C912D4">
            <w:pPr>
              <w:pStyle w:val="ListParagraph"/>
              <w:spacing w:line="360" w:lineRule="auto"/>
              <w:ind w:left="90"/>
              <w:rPr>
                <w:sz w:val="18"/>
                <w:szCs w:val="18"/>
              </w:rPr>
            </w:pPr>
            <w:r w:rsidRPr="000322EC">
              <w:rPr>
                <w:sz w:val="18"/>
                <w:szCs w:val="18"/>
              </w:rPr>
              <w:t>Dexamethasone</w:t>
            </w:r>
          </w:p>
        </w:tc>
        <w:tc>
          <w:tcPr>
            <w:tcW w:w="1890" w:type="dxa"/>
          </w:tcPr>
          <w:p w:rsidR="009B5300" w:rsidRPr="00503074" w:rsidRDefault="009B5300" w:rsidP="007555EF">
            <w:pPr>
              <w:pStyle w:val="ListParagraph"/>
              <w:spacing w:line="360" w:lineRule="auto"/>
              <w:ind w:left="72"/>
              <w:jc w:val="center"/>
              <w:rPr>
                <w:sz w:val="18"/>
                <w:szCs w:val="18"/>
              </w:rPr>
            </w:pPr>
            <w:r w:rsidRPr="00503074">
              <w:rPr>
                <w:sz w:val="18"/>
                <w:szCs w:val="18"/>
              </w:rPr>
              <w:t>0.4</w:t>
            </w:r>
            <w:r>
              <w:rPr>
                <w:sz w:val="18"/>
                <w:szCs w:val="18"/>
              </w:rPr>
              <w:t xml:space="preserve"> </w:t>
            </w:r>
            <w:r w:rsidRPr="00503074">
              <w:rPr>
                <w:sz w:val="18"/>
                <w:szCs w:val="18"/>
              </w:rPr>
              <w:t>mg/mL</w:t>
            </w:r>
            <w:r>
              <w:rPr>
                <w:sz w:val="18"/>
                <w:szCs w:val="18"/>
              </w:rPr>
              <w:t xml:space="preserve"> (0.04%)</w:t>
            </w:r>
            <w:r w:rsidRPr="000322EC">
              <w:rPr>
                <w:sz w:val="18"/>
                <w:szCs w:val="18"/>
                <w:vertAlign w:val="superscript"/>
              </w:rPr>
              <w:t>1</w:t>
            </w:r>
          </w:p>
        </w:tc>
        <w:tc>
          <w:tcPr>
            <w:tcW w:w="1350" w:type="dxa"/>
          </w:tcPr>
          <w:p w:rsidR="009B5300" w:rsidRPr="00503074" w:rsidRDefault="009B5300" w:rsidP="00846E1F">
            <w:pPr>
              <w:pStyle w:val="ListParagraph"/>
              <w:spacing w:line="360" w:lineRule="auto"/>
              <w:ind w:left="166"/>
              <w:jc w:val="center"/>
              <w:rPr>
                <w:sz w:val="18"/>
                <w:szCs w:val="18"/>
              </w:rPr>
            </w:pPr>
            <w:r w:rsidRPr="00503074">
              <w:rPr>
                <w:sz w:val="18"/>
                <w:szCs w:val="18"/>
              </w:rPr>
              <w:t>10</w:t>
            </w:r>
            <w:r>
              <w:rPr>
                <w:sz w:val="18"/>
                <w:szCs w:val="18"/>
              </w:rPr>
              <w:t xml:space="preserve"> </w:t>
            </w:r>
            <w:r w:rsidRPr="00503074">
              <w:rPr>
                <w:sz w:val="18"/>
                <w:szCs w:val="18"/>
              </w:rPr>
              <w:t>mL x</w:t>
            </w:r>
            <w:r>
              <w:rPr>
                <w:sz w:val="18"/>
                <w:szCs w:val="18"/>
              </w:rPr>
              <w:t>3-</w:t>
            </w:r>
            <w:r w:rsidRPr="00503074">
              <w:rPr>
                <w:sz w:val="18"/>
                <w:szCs w:val="18"/>
              </w:rPr>
              <w:t>6/d</w:t>
            </w:r>
          </w:p>
        </w:tc>
        <w:tc>
          <w:tcPr>
            <w:tcW w:w="1260" w:type="dxa"/>
          </w:tcPr>
          <w:p w:rsidR="009B5300" w:rsidRPr="00503074" w:rsidRDefault="009B5300" w:rsidP="00846E1F">
            <w:pPr>
              <w:pStyle w:val="ListParagraph"/>
              <w:spacing w:line="360" w:lineRule="auto"/>
              <w:ind w:left="0"/>
              <w:jc w:val="center"/>
              <w:rPr>
                <w:sz w:val="18"/>
                <w:szCs w:val="18"/>
              </w:rPr>
            </w:pPr>
            <w:r w:rsidRPr="00503074">
              <w:rPr>
                <w:sz w:val="18"/>
                <w:szCs w:val="18"/>
              </w:rPr>
              <w:t>No</w:t>
            </w:r>
          </w:p>
        </w:tc>
      </w:tr>
      <w:tr w:rsidR="009B5300" w:rsidRPr="00503074">
        <w:tc>
          <w:tcPr>
            <w:tcW w:w="1260" w:type="dxa"/>
            <w:vMerge/>
            <w:shd w:val="clear" w:color="auto" w:fill="auto"/>
          </w:tcPr>
          <w:p w:rsidR="009B5300" w:rsidRPr="00072A7E" w:rsidRDefault="009B5300" w:rsidP="00C912D4">
            <w:pPr>
              <w:pStyle w:val="ListParagraph"/>
              <w:spacing w:line="360" w:lineRule="auto"/>
              <w:ind w:left="90"/>
              <w:rPr>
                <w:sz w:val="18"/>
                <w:szCs w:val="18"/>
              </w:rPr>
            </w:pPr>
          </w:p>
        </w:tc>
        <w:tc>
          <w:tcPr>
            <w:tcW w:w="1170" w:type="dxa"/>
            <w:vMerge/>
          </w:tcPr>
          <w:p w:rsidR="009B5300" w:rsidRPr="00503074" w:rsidRDefault="009B5300" w:rsidP="00C912D4">
            <w:pPr>
              <w:pStyle w:val="ListParagraph"/>
              <w:spacing w:line="360" w:lineRule="auto"/>
              <w:ind w:left="90"/>
              <w:rPr>
                <w:sz w:val="18"/>
                <w:szCs w:val="18"/>
              </w:rPr>
            </w:pPr>
          </w:p>
        </w:tc>
        <w:tc>
          <w:tcPr>
            <w:tcW w:w="2340" w:type="dxa"/>
          </w:tcPr>
          <w:p w:rsidR="009B5300" w:rsidRPr="000322EC" w:rsidRDefault="009B5300" w:rsidP="00C912D4">
            <w:pPr>
              <w:pStyle w:val="ListParagraph"/>
              <w:spacing w:line="360" w:lineRule="auto"/>
              <w:ind w:left="90"/>
              <w:rPr>
                <w:sz w:val="18"/>
                <w:szCs w:val="18"/>
              </w:rPr>
            </w:pPr>
            <w:r w:rsidRPr="000322EC">
              <w:rPr>
                <w:sz w:val="18"/>
                <w:szCs w:val="18"/>
              </w:rPr>
              <w:t>Prednisolone</w:t>
            </w:r>
          </w:p>
        </w:tc>
        <w:tc>
          <w:tcPr>
            <w:tcW w:w="1890" w:type="dxa"/>
          </w:tcPr>
          <w:p w:rsidR="009B5300" w:rsidRPr="00503074" w:rsidRDefault="009B5300" w:rsidP="007555EF">
            <w:pPr>
              <w:pStyle w:val="ListParagraph"/>
              <w:spacing w:line="360" w:lineRule="auto"/>
              <w:ind w:left="72"/>
              <w:jc w:val="center"/>
              <w:rPr>
                <w:sz w:val="18"/>
                <w:szCs w:val="18"/>
              </w:rPr>
            </w:pPr>
            <w:r w:rsidRPr="00503074">
              <w:rPr>
                <w:sz w:val="18"/>
                <w:szCs w:val="18"/>
              </w:rPr>
              <w:t>3</w:t>
            </w:r>
            <w:r>
              <w:rPr>
                <w:sz w:val="18"/>
                <w:szCs w:val="18"/>
              </w:rPr>
              <w:t xml:space="preserve"> </w:t>
            </w:r>
            <w:r w:rsidRPr="00503074">
              <w:rPr>
                <w:sz w:val="18"/>
                <w:szCs w:val="18"/>
              </w:rPr>
              <w:t>mg/mL</w:t>
            </w:r>
            <w:r>
              <w:rPr>
                <w:sz w:val="18"/>
                <w:szCs w:val="18"/>
              </w:rPr>
              <w:t xml:space="preserve"> (0.3%)</w:t>
            </w:r>
          </w:p>
        </w:tc>
        <w:tc>
          <w:tcPr>
            <w:tcW w:w="1350" w:type="dxa"/>
          </w:tcPr>
          <w:p w:rsidR="009B5300" w:rsidRPr="00503074" w:rsidRDefault="009B5300" w:rsidP="00846E1F">
            <w:pPr>
              <w:pStyle w:val="ListParagraph"/>
              <w:spacing w:line="360" w:lineRule="auto"/>
              <w:ind w:left="166"/>
              <w:jc w:val="center"/>
              <w:rPr>
                <w:sz w:val="18"/>
                <w:szCs w:val="18"/>
              </w:rPr>
            </w:pPr>
            <w:r w:rsidRPr="00503074">
              <w:rPr>
                <w:sz w:val="18"/>
                <w:szCs w:val="18"/>
              </w:rPr>
              <w:t>5</w:t>
            </w:r>
            <w:r>
              <w:rPr>
                <w:sz w:val="18"/>
                <w:szCs w:val="18"/>
              </w:rPr>
              <w:t xml:space="preserve"> </w:t>
            </w:r>
            <w:r w:rsidRPr="00503074">
              <w:rPr>
                <w:sz w:val="18"/>
                <w:szCs w:val="18"/>
              </w:rPr>
              <w:t>mL x</w:t>
            </w:r>
            <w:r>
              <w:rPr>
                <w:sz w:val="18"/>
                <w:szCs w:val="18"/>
              </w:rPr>
              <w:t>3-</w:t>
            </w:r>
            <w:r w:rsidRPr="00503074">
              <w:rPr>
                <w:sz w:val="18"/>
                <w:szCs w:val="18"/>
              </w:rPr>
              <w:t>6/d</w:t>
            </w:r>
          </w:p>
        </w:tc>
        <w:tc>
          <w:tcPr>
            <w:tcW w:w="1260" w:type="dxa"/>
          </w:tcPr>
          <w:p w:rsidR="009B5300" w:rsidRPr="00503074" w:rsidRDefault="009B5300" w:rsidP="00846E1F">
            <w:pPr>
              <w:pStyle w:val="ListParagraph"/>
              <w:spacing w:line="360" w:lineRule="auto"/>
              <w:ind w:left="0"/>
              <w:jc w:val="center"/>
              <w:rPr>
                <w:sz w:val="18"/>
                <w:szCs w:val="18"/>
              </w:rPr>
            </w:pPr>
            <w:r w:rsidRPr="00503074">
              <w:rPr>
                <w:sz w:val="18"/>
                <w:szCs w:val="18"/>
              </w:rPr>
              <w:t>Yes</w:t>
            </w:r>
          </w:p>
        </w:tc>
      </w:tr>
      <w:tr w:rsidR="009B5300" w:rsidRPr="00503074">
        <w:tc>
          <w:tcPr>
            <w:tcW w:w="1260" w:type="dxa"/>
            <w:vMerge/>
            <w:shd w:val="clear" w:color="auto" w:fill="auto"/>
          </w:tcPr>
          <w:p w:rsidR="009B5300" w:rsidRPr="00072A7E" w:rsidRDefault="009B5300" w:rsidP="00C912D4">
            <w:pPr>
              <w:pStyle w:val="ListParagraph"/>
              <w:spacing w:line="360" w:lineRule="auto"/>
              <w:ind w:left="90"/>
              <w:rPr>
                <w:sz w:val="18"/>
                <w:szCs w:val="18"/>
              </w:rPr>
            </w:pPr>
          </w:p>
        </w:tc>
        <w:tc>
          <w:tcPr>
            <w:tcW w:w="1170" w:type="dxa"/>
            <w:vMerge/>
          </w:tcPr>
          <w:p w:rsidR="009B5300" w:rsidRPr="00503074" w:rsidRDefault="009B5300" w:rsidP="00C912D4">
            <w:pPr>
              <w:pStyle w:val="ListParagraph"/>
              <w:spacing w:line="360" w:lineRule="auto"/>
              <w:ind w:left="90"/>
              <w:rPr>
                <w:sz w:val="18"/>
                <w:szCs w:val="18"/>
              </w:rPr>
            </w:pPr>
          </w:p>
        </w:tc>
        <w:tc>
          <w:tcPr>
            <w:tcW w:w="2340" w:type="dxa"/>
          </w:tcPr>
          <w:p w:rsidR="009B5300" w:rsidRPr="000322EC" w:rsidRDefault="009B5300" w:rsidP="00C912D4">
            <w:pPr>
              <w:pStyle w:val="ListParagraph"/>
              <w:spacing w:line="360" w:lineRule="auto"/>
              <w:ind w:left="90"/>
              <w:rPr>
                <w:sz w:val="18"/>
                <w:szCs w:val="18"/>
              </w:rPr>
            </w:pPr>
            <w:r w:rsidRPr="000322EC">
              <w:rPr>
                <w:sz w:val="18"/>
                <w:szCs w:val="18"/>
              </w:rPr>
              <w:t>Budesonide</w:t>
            </w:r>
          </w:p>
        </w:tc>
        <w:tc>
          <w:tcPr>
            <w:tcW w:w="1890" w:type="dxa"/>
          </w:tcPr>
          <w:p w:rsidR="009B5300" w:rsidRPr="00503074" w:rsidRDefault="009B5300" w:rsidP="007555EF">
            <w:pPr>
              <w:pStyle w:val="ListParagraph"/>
              <w:spacing w:line="360" w:lineRule="auto"/>
              <w:ind w:left="72"/>
              <w:jc w:val="center"/>
              <w:rPr>
                <w:sz w:val="18"/>
                <w:szCs w:val="18"/>
              </w:rPr>
            </w:pPr>
            <w:r w:rsidRPr="00503074">
              <w:rPr>
                <w:sz w:val="18"/>
                <w:szCs w:val="18"/>
              </w:rPr>
              <w:t>0.3</w:t>
            </w:r>
            <w:r>
              <w:rPr>
                <w:sz w:val="18"/>
                <w:szCs w:val="18"/>
              </w:rPr>
              <w:t xml:space="preserve"> </w:t>
            </w:r>
            <w:r w:rsidRPr="00503074">
              <w:rPr>
                <w:sz w:val="18"/>
                <w:szCs w:val="18"/>
              </w:rPr>
              <w:t>mg/mL</w:t>
            </w:r>
            <w:r>
              <w:rPr>
                <w:sz w:val="18"/>
                <w:szCs w:val="18"/>
              </w:rPr>
              <w:t xml:space="preserve"> (0.03%)</w:t>
            </w:r>
          </w:p>
        </w:tc>
        <w:tc>
          <w:tcPr>
            <w:tcW w:w="1350" w:type="dxa"/>
          </w:tcPr>
          <w:p w:rsidR="009B5300" w:rsidRPr="00503074" w:rsidRDefault="009B5300" w:rsidP="00846E1F">
            <w:pPr>
              <w:pStyle w:val="ListParagraph"/>
              <w:spacing w:line="360" w:lineRule="auto"/>
              <w:ind w:left="166"/>
              <w:jc w:val="center"/>
              <w:rPr>
                <w:sz w:val="18"/>
                <w:szCs w:val="18"/>
              </w:rPr>
            </w:pPr>
            <w:r w:rsidRPr="00503074">
              <w:rPr>
                <w:sz w:val="18"/>
                <w:szCs w:val="18"/>
              </w:rPr>
              <w:t>10</w:t>
            </w:r>
            <w:r>
              <w:rPr>
                <w:sz w:val="18"/>
                <w:szCs w:val="18"/>
              </w:rPr>
              <w:t xml:space="preserve"> </w:t>
            </w:r>
            <w:r w:rsidRPr="00503074">
              <w:rPr>
                <w:sz w:val="18"/>
                <w:szCs w:val="18"/>
              </w:rPr>
              <w:t>mL x</w:t>
            </w:r>
            <w:r>
              <w:rPr>
                <w:sz w:val="18"/>
                <w:szCs w:val="18"/>
              </w:rPr>
              <w:t>2-</w:t>
            </w:r>
            <w:r w:rsidRPr="00503074">
              <w:rPr>
                <w:sz w:val="18"/>
                <w:szCs w:val="18"/>
              </w:rPr>
              <w:t>4/d</w:t>
            </w:r>
          </w:p>
        </w:tc>
        <w:tc>
          <w:tcPr>
            <w:tcW w:w="1260" w:type="dxa"/>
          </w:tcPr>
          <w:p w:rsidR="009B5300" w:rsidRPr="00503074" w:rsidRDefault="009B5300" w:rsidP="00846E1F">
            <w:pPr>
              <w:pStyle w:val="ListParagraph"/>
              <w:spacing w:line="360" w:lineRule="auto"/>
              <w:ind w:left="0"/>
              <w:jc w:val="center"/>
              <w:rPr>
                <w:sz w:val="18"/>
                <w:szCs w:val="18"/>
              </w:rPr>
            </w:pPr>
            <w:r w:rsidRPr="00503074">
              <w:rPr>
                <w:sz w:val="18"/>
                <w:szCs w:val="18"/>
              </w:rPr>
              <w:t>No</w:t>
            </w:r>
          </w:p>
        </w:tc>
      </w:tr>
      <w:tr w:rsidR="009B5300" w:rsidRPr="00503074">
        <w:tc>
          <w:tcPr>
            <w:tcW w:w="1260" w:type="dxa"/>
            <w:vMerge/>
            <w:shd w:val="clear" w:color="auto" w:fill="auto"/>
          </w:tcPr>
          <w:p w:rsidR="009B5300" w:rsidRPr="00072A7E" w:rsidRDefault="009B5300" w:rsidP="00C912D4">
            <w:pPr>
              <w:pStyle w:val="ListParagraph"/>
              <w:spacing w:line="360" w:lineRule="auto"/>
              <w:ind w:left="90"/>
              <w:rPr>
                <w:sz w:val="18"/>
                <w:szCs w:val="18"/>
              </w:rPr>
            </w:pPr>
          </w:p>
        </w:tc>
        <w:tc>
          <w:tcPr>
            <w:tcW w:w="1170" w:type="dxa"/>
            <w:vMerge/>
          </w:tcPr>
          <w:p w:rsidR="009B5300" w:rsidRPr="00503074" w:rsidRDefault="009B5300" w:rsidP="00C912D4">
            <w:pPr>
              <w:pStyle w:val="ListParagraph"/>
              <w:spacing w:line="360" w:lineRule="auto"/>
              <w:ind w:left="90"/>
              <w:rPr>
                <w:sz w:val="18"/>
                <w:szCs w:val="18"/>
              </w:rPr>
            </w:pPr>
          </w:p>
        </w:tc>
        <w:tc>
          <w:tcPr>
            <w:tcW w:w="2340" w:type="dxa"/>
          </w:tcPr>
          <w:p w:rsidR="009B5300" w:rsidRPr="000322EC" w:rsidRDefault="009B5300" w:rsidP="00C912D4">
            <w:pPr>
              <w:pStyle w:val="ListParagraph"/>
              <w:spacing w:line="360" w:lineRule="auto"/>
              <w:ind w:left="90"/>
              <w:rPr>
                <w:sz w:val="18"/>
                <w:szCs w:val="18"/>
              </w:rPr>
            </w:pPr>
            <w:r w:rsidRPr="000322EC">
              <w:rPr>
                <w:sz w:val="18"/>
                <w:szCs w:val="18"/>
              </w:rPr>
              <w:t>Clobetasol</w:t>
            </w:r>
          </w:p>
        </w:tc>
        <w:tc>
          <w:tcPr>
            <w:tcW w:w="1890" w:type="dxa"/>
          </w:tcPr>
          <w:p w:rsidR="009B5300" w:rsidRPr="00503074" w:rsidRDefault="009B5300" w:rsidP="007555EF">
            <w:pPr>
              <w:pStyle w:val="ListParagraph"/>
              <w:spacing w:line="360" w:lineRule="auto"/>
              <w:ind w:left="72"/>
              <w:jc w:val="center"/>
              <w:rPr>
                <w:sz w:val="18"/>
                <w:szCs w:val="18"/>
              </w:rPr>
            </w:pPr>
            <w:r w:rsidRPr="00503074">
              <w:rPr>
                <w:sz w:val="18"/>
                <w:szCs w:val="18"/>
              </w:rPr>
              <w:t>0.5</w:t>
            </w:r>
            <w:r>
              <w:rPr>
                <w:sz w:val="18"/>
                <w:szCs w:val="18"/>
              </w:rPr>
              <w:t xml:space="preserve"> </w:t>
            </w:r>
            <w:r w:rsidRPr="00503074">
              <w:rPr>
                <w:sz w:val="18"/>
                <w:szCs w:val="18"/>
              </w:rPr>
              <w:t>mg/mL</w:t>
            </w:r>
            <w:r>
              <w:rPr>
                <w:sz w:val="18"/>
                <w:szCs w:val="18"/>
              </w:rPr>
              <w:t xml:space="preserve"> (0.05%)</w:t>
            </w:r>
          </w:p>
        </w:tc>
        <w:tc>
          <w:tcPr>
            <w:tcW w:w="1350" w:type="dxa"/>
          </w:tcPr>
          <w:p w:rsidR="009B5300" w:rsidRPr="00503074" w:rsidRDefault="009B5300" w:rsidP="00846E1F">
            <w:pPr>
              <w:pStyle w:val="ListParagraph"/>
              <w:spacing w:line="360" w:lineRule="auto"/>
              <w:ind w:left="166"/>
              <w:jc w:val="center"/>
              <w:rPr>
                <w:sz w:val="18"/>
                <w:szCs w:val="18"/>
              </w:rPr>
            </w:pPr>
            <w:r>
              <w:rPr>
                <w:sz w:val="18"/>
                <w:szCs w:val="18"/>
              </w:rPr>
              <w:t>5 mL x3/d</w:t>
            </w:r>
          </w:p>
        </w:tc>
        <w:tc>
          <w:tcPr>
            <w:tcW w:w="1260" w:type="dxa"/>
          </w:tcPr>
          <w:p w:rsidR="009B5300" w:rsidRPr="00503074" w:rsidRDefault="009B5300" w:rsidP="00846E1F">
            <w:pPr>
              <w:pStyle w:val="ListParagraph"/>
              <w:spacing w:line="360" w:lineRule="auto"/>
              <w:ind w:left="0"/>
              <w:jc w:val="center"/>
              <w:rPr>
                <w:sz w:val="18"/>
                <w:szCs w:val="18"/>
              </w:rPr>
            </w:pPr>
            <w:r>
              <w:rPr>
                <w:sz w:val="18"/>
                <w:szCs w:val="18"/>
              </w:rPr>
              <w:t>No</w:t>
            </w:r>
          </w:p>
        </w:tc>
      </w:tr>
      <w:tr w:rsidR="009B5300" w:rsidRPr="00503074">
        <w:tc>
          <w:tcPr>
            <w:tcW w:w="1260" w:type="dxa"/>
            <w:vMerge/>
            <w:shd w:val="clear" w:color="auto" w:fill="auto"/>
          </w:tcPr>
          <w:p w:rsidR="009B5300" w:rsidRPr="00072A7E" w:rsidRDefault="009B5300" w:rsidP="00C912D4">
            <w:pPr>
              <w:pStyle w:val="ListParagraph"/>
              <w:spacing w:line="360" w:lineRule="auto"/>
              <w:ind w:left="90"/>
              <w:rPr>
                <w:sz w:val="18"/>
                <w:szCs w:val="18"/>
              </w:rPr>
            </w:pPr>
          </w:p>
        </w:tc>
        <w:tc>
          <w:tcPr>
            <w:tcW w:w="1170" w:type="dxa"/>
            <w:vMerge/>
          </w:tcPr>
          <w:p w:rsidR="009B5300" w:rsidRPr="00503074" w:rsidRDefault="009B5300" w:rsidP="00C912D4">
            <w:pPr>
              <w:pStyle w:val="ListParagraph"/>
              <w:spacing w:line="360" w:lineRule="auto"/>
              <w:ind w:left="90"/>
              <w:rPr>
                <w:sz w:val="18"/>
                <w:szCs w:val="18"/>
              </w:rPr>
            </w:pPr>
          </w:p>
        </w:tc>
        <w:tc>
          <w:tcPr>
            <w:tcW w:w="2340" w:type="dxa"/>
          </w:tcPr>
          <w:p w:rsidR="009B5300" w:rsidRPr="000322EC" w:rsidRDefault="009B5300" w:rsidP="00C912D4">
            <w:pPr>
              <w:pStyle w:val="ListParagraph"/>
              <w:spacing w:line="360" w:lineRule="auto"/>
              <w:ind w:left="90"/>
              <w:rPr>
                <w:sz w:val="18"/>
                <w:szCs w:val="18"/>
              </w:rPr>
            </w:pPr>
            <w:r w:rsidRPr="000322EC">
              <w:rPr>
                <w:sz w:val="18"/>
                <w:szCs w:val="18"/>
              </w:rPr>
              <w:t>Triamcinolone</w:t>
            </w:r>
          </w:p>
        </w:tc>
        <w:tc>
          <w:tcPr>
            <w:tcW w:w="1890" w:type="dxa"/>
          </w:tcPr>
          <w:p w:rsidR="009B5300" w:rsidRPr="00503074" w:rsidRDefault="009B5300" w:rsidP="007555EF">
            <w:pPr>
              <w:pStyle w:val="ListParagraph"/>
              <w:spacing w:line="360" w:lineRule="auto"/>
              <w:ind w:left="72"/>
              <w:jc w:val="center"/>
              <w:rPr>
                <w:sz w:val="18"/>
                <w:szCs w:val="18"/>
              </w:rPr>
            </w:pPr>
            <w:r w:rsidRPr="003E30D3">
              <w:rPr>
                <w:sz w:val="18"/>
                <w:szCs w:val="18"/>
              </w:rPr>
              <w:t>1 mg/mL</w:t>
            </w:r>
            <w:r>
              <w:rPr>
                <w:sz w:val="18"/>
                <w:szCs w:val="18"/>
              </w:rPr>
              <w:t xml:space="preserve"> (0.1%)</w:t>
            </w:r>
          </w:p>
        </w:tc>
        <w:tc>
          <w:tcPr>
            <w:tcW w:w="1350" w:type="dxa"/>
          </w:tcPr>
          <w:p w:rsidR="009B5300" w:rsidRPr="00503074" w:rsidRDefault="009B5300" w:rsidP="00846E1F">
            <w:pPr>
              <w:pStyle w:val="ListParagraph"/>
              <w:spacing w:line="360" w:lineRule="auto"/>
              <w:ind w:left="166"/>
              <w:jc w:val="center"/>
              <w:rPr>
                <w:sz w:val="18"/>
                <w:szCs w:val="18"/>
              </w:rPr>
            </w:pPr>
            <w:r>
              <w:rPr>
                <w:sz w:val="18"/>
                <w:szCs w:val="18"/>
              </w:rPr>
              <w:t>x10/d</w:t>
            </w:r>
          </w:p>
        </w:tc>
        <w:tc>
          <w:tcPr>
            <w:tcW w:w="1260" w:type="dxa"/>
          </w:tcPr>
          <w:p w:rsidR="009B5300" w:rsidRPr="00503074" w:rsidRDefault="009B5300" w:rsidP="00846E1F">
            <w:pPr>
              <w:pStyle w:val="ListParagraph"/>
              <w:spacing w:line="360" w:lineRule="auto"/>
              <w:ind w:left="0"/>
              <w:jc w:val="center"/>
              <w:rPr>
                <w:sz w:val="18"/>
                <w:szCs w:val="18"/>
              </w:rPr>
            </w:pPr>
            <w:r>
              <w:rPr>
                <w:sz w:val="18"/>
                <w:szCs w:val="18"/>
              </w:rPr>
              <w:t>Yes</w:t>
            </w:r>
          </w:p>
        </w:tc>
      </w:tr>
      <w:tr w:rsidR="009B5300" w:rsidRPr="00503074">
        <w:tc>
          <w:tcPr>
            <w:tcW w:w="1260" w:type="dxa"/>
            <w:vMerge/>
            <w:shd w:val="clear" w:color="auto" w:fill="auto"/>
          </w:tcPr>
          <w:p w:rsidR="009B5300" w:rsidRPr="00072A7E" w:rsidRDefault="009B5300" w:rsidP="00C912D4">
            <w:pPr>
              <w:pStyle w:val="ListParagraph"/>
              <w:spacing w:line="360" w:lineRule="auto"/>
              <w:ind w:left="90"/>
              <w:rPr>
                <w:sz w:val="18"/>
                <w:szCs w:val="18"/>
              </w:rPr>
            </w:pPr>
          </w:p>
        </w:tc>
        <w:tc>
          <w:tcPr>
            <w:tcW w:w="1170" w:type="dxa"/>
            <w:vMerge/>
          </w:tcPr>
          <w:p w:rsidR="009B5300" w:rsidRPr="00503074" w:rsidRDefault="009B5300" w:rsidP="00C912D4">
            <w:pPr>
              <w:pStyle w:val="ListParagraph"/>
              <w:spacing w:line="360" w:lineRule="auto"/>
              <w:ind w:left="90"/>
              <w:rPr>
                <w:sz w:val="18"/>
                <w:szCs w:val="18"/>
              </w:rPr>
            </w:pPr>
          </w:p>
        </w:tc>
        <w:tc>
          <w:tcPr>
            <w:tcW w:w="2340" w:type="dxa"/>
          </w:tcPr>
          <w:p w:rsidR="009B5300" w:rsidRPr="000322EC" w:rsidRDefault="009B5300" w:rsidP="00C912D4">
            <w:pPr>
              <w:pStyle w:val="ListParagraph"/>
              <w:spacing w:line="360" w:lineRule="auto"/>
              <w:ind w:left="90"/>
              <w:rPr>
                <w:sz w:val="18"/>
                <w:szCs w:val="18"/>
              </w:rPr>
            </w:pPr>
            <w:r w:rsidRPr="000322EC">
              <w:rPr>
                <w:sz w:val="18"/>
                <w:szCs w:val="18"/>
              </w:rPr>
              <w:t>Triamcinolone</w:t>
            </w:r>
          </w:p>
        </w:tc>
        <w:tc>
          <w:tcPr>
            <w:tcW w:w="1890" w:type="dxa"/>
          </w:tcPr>
          <w:p w:rsidR="009B5300" w:rsidRPr="00503074" w:rsidRDefault="009B5300" w:rsidP="007555EF">
            <w:pPr>
              <w:pStyle w:val="ListParagraph"/>
              <w:spacing w:line="360" w:lineRule="auto"/>
              <w:ind w:left="72"/>
              <w:jc w:val="center"/>
              <w:rPr>
                <w:sz w:val="18"/>
                <w:szCs w:val="18"/>
              </w:rPr>
            </w:pPr>
            <w:r w:rsidRPr="00503074">
              <w:rPr>
                <w:sz w:val="18"/>
                <w:szCs w:val="18"/>
              </w:rPr>
              <w:t>10 mg/mL</w:t>
            </w:r>
            <w:r>
              <w:rPr>
                <w:sz w:val="18"/>
                <w:szCs w:val="18"/>
              </w:rPr>
              <w:t xml:space="preserve"> (1%)</w:t>
            </w:r>
          </w:p>
        </w:tc>
        <w:tc>
          <w:tcPr>
            <w:tcW w:w="1350" w:type="dxa"/>
          </w:tcPr>
          <w:p w:rsidR="009B5300" w:rsidRPr="00503074" w:rsidRDefault="009B5300" w:rsidP="00846E1F">
            <w:pPr>
              <w:pStyle w:val="ListParagraph"/>
              <w:spacing w:line="360" w:lineRule="auto"/>
              <w:ind w:left="166"/>
              <w:jc w:val="center"/>
              <w:rPr>
                <w:sz w:val="18"/>
                <w:szCs w:val="18"/>
              </w:rPr>
            </w:pPr>
            <w:r w:rsidRPr="00503074">
              <w:rPr>
                <w:sz w:val="18"/>
                <w:szCs w:val="18"/>
              </w:rPr>
              <w:t>5</w:t>
            </w:r>
            <w:r>
              <w:rPr>
                <w:sz w:val="18"/>
                <w:szCs w:val="18"/>
              </w:rPr>
              <w:t xml:space="preserve"> </w:t>
            </w:r>
            <w:r w:rsidRPr="00503074">
              <w:rPr>
                <w:sz w:val="18"/>
                <w:szCs w:val="18"/>
              </w:rPr>
              <w:t>mL</w:t>
            </w:r>
            <w:r>
              <w:rPr>
                <w:sz w:val="18"/>
                <w:szCs w:val="18"/>
              </w:rPr>
              <w:t xml:space="preserve"> </w:t>
            </w:r>
            <w:r w:rsidRPr="00503074">
              <w:rPr>
                <w:sz w:val="18"/>
                <w:szCs w:val="18"/>
              </w:rPr>
              <w:t>x</w:t>
            </w:r>
            <w:r>
              <w:rPr>
                <w:sz w:val="18"/>
                <w:szCs w:val="18"/>
              </w:rPr>
              <w:t>3-</w:t>
            </w:r>
            <w:r w:rsidRPr="00503074">
              <w:rPr>
                <w:sz w:val="18"/>
                <w:szCs w:val="18"/>
              </w:rPr>
              <w:t>6/d</w:t>
            </w:r>
          </w:p>
        </w:tc>
        <w:tc>
          <w:tcPr>
            <w:tcW w:w="1260" w:type="dxa"/>
          </w:tcPr>
          <w:p w:rsidR="009B5300" w:rsidRPr="00503074" w:rsidRDefault="009B5300" w:rsidP="00846E1F">
            <w:pPr>
              <w:pStyle w:val="ListParagraph"/>
              <w:spacing w:line="360" w:lineRule="auto"/>
              <w:ind w:left="0"/>
              <w:jc w:val="center"/>
              <w:rPr>
                <w:sz w:val="18"/>
                <w:szCs w:val="18"/>
              </w:rPr>
            </w:pPr>
            <w:r w:rsidRPr="00503074">
              <w:rPr>
                <w:sz w:val="18"/>
                <w:szCs w:val="18"/>
              </w:rPr>
              <w:t>No</w:t>
            </w:r>
          </w:p>
        </w:tc>
      </w:tr>
      <w:tr w:rsidR="009B5300" w:rsidRPr="00503074">
        <w:tc>
          <w:tcPr>
            <w:tcW w:w="1260" w:type="dxa"/>
            <w:vMerge/>
            <w:shd w:val="clear" w:color="auto" w:fill="auto"/>
          </w:tcPr>
          <w:p w:rsidR="009B5300" w:rsidRPr="00072A7E" w:rsidRDefault="009B5300" w:rsidP="00C912D4">
            <w:pPr>
              <w:pStyle w:val="ListParagraph"/>
              <w:spacing w:line="360" w:lineRule="auto"/>
              <w:ind w:left="90"/>
              <w:rPr>
                <w:sz w:val="18"/>
                <w:szCs w:val="18"/>
              </w:rPr>
            </w:pPr>
          </w:p>
        </w:tc>
        <w:tc>
          <w:tcPr>
            <w:tcW w:w="1170" w:type="dxa"/>
            <w:vMerge/>
          </w:tcPr>
          <w:p w:rsidR="009B5300" w:rsidRPr="00503074" w:rsidRDefault="009B5300" w:rsidP="00C912D4">
            <w:pPr>
              <w:pStyle w:val="ListParagraph"/>
              <w:spacing w:line="360" w:lineRule="auto"/>
              <w:ind w:left="90"/>
              <w:rPr>
                <w:sz w:val="18"/>
                <w:szCs w:val="18"/>
              </w:rPr>
            </w:pPr>
          </w:p>
        </w:tc>
        <w:tc>
          <w:tcPr>
            <w:tcW w:w="2340" w:type="dxa"/>
          </w:tcPr>
          <w:p w:rsidR="009B5300" w:rsidRPr="000322EC" w:rsidRDefault="009B5300" w:rsidP="00C912D4">
            <w:pPr>
              <w:pStyle w:val="ListParagraph"/>
              <w:spacing w:line="360" w:lineRule="auto"/>
              <w:ind w:left="90"/>
              <w:rPr>
                <w:sz w:val="18"/>
                <w:szCs w:val="18"/>
              </w:rPr>
            </w:pPr>
            <w:r w:rsidRPr="000322EC">
              <w:rPr>
                <w:sz w:val="18"/>
                <w:szCs w:val="18"/>
              </w:rPr>
              <w:t>Betamethasone</w:t>
            </w:r>
            <w:r w:rsidRPr="000322EC">
              <w:rPr>
                <w:sz w:val="18"/>
                <w:szCs w:val="18"/>
                <w:vertAlign w:val="superscript"/>
              </w:rPr>
              <w:t>1</w:t>
            </w:r>
          </w:p>
        </w:tc>
        <w:tc>
          <w:tcPr>
            <w:tcW w:w="1890" w:type="dxa"/>
          </w:tcPr>
          <w:p w:rsidR="009B5300" w:rsidRPr="00503074" w:rsidRDefault="009B5300" w:rsidP="007555EF">
            <w:pPr>
              <w:pStyle w:val="ListParagraph"/>
              <w:spacing w:line="360" w:lineRule="auto"/>
              <w:ind w:left="72"/>
              <w:jc w:val="center"/>
              <w:rPr>
                <w:sz w:val="18"/>
                <w:szCs w:val="18"/>
              </w:rPr>
            </w:pPr>
            <w:r w:rsidRPr="00D05C91">
              <w:rPr>
                <w:sz w:val="18"/>
                <w:szCs w:val="18"/>
              </w:rPr>
              <w:t>0.02</w:t>
            </w:r>
            <w:r>
              <w:rPr>
                <w:sz w:val="18"/>
                <w:szCs w:val="18"/>
              </w:rPr>
              <w:t xml:space="preserve"> </w:t>
            </w:r>
            <w:r w:rsidRPr="00D05C91">
              <w:rPr>
                <w:sz w:val="18"/>
                <w:szCs w:val="18"/>
              </w:rPr>
              <w:t>mg/mL</w:t>
            </w:r>
            <w:r>
              <w:rPr>
                <w:sz w:val="18"/>
                <w:szCs w:val="18"/>
              </w:rPr>
              <w:t xml:space="preserve"> (0.002%)</w:t>
            </w:r>
          </w:p>
        </w:tc>
        <w:tc>
          <w:tcPr>
            <w:tcW w:w="1350" w:type="dxa"/>
          </w:tcPr>
          <w:p w:rsidR="009B5300" w:rsidRPr="00503074" w:rsidRDefault="009B5300" w:rsidP="00846E1F">
            <w:pPr>
              <w:pStyle w:val="ListParagraph"/>
              <w:spacing w:line="360" w:lineRule="auto"/>
              <w:ind w:left="166"/>
              <w:jc w:val="center"/>
              <w:rPr>
                <w:sz w:val="18"/>
                <w:szCs w:val="18"/>
              </w:rPr>
            </w:pPr>
            <w:r w:rsidRPr="00503074">
              <w:rPr>
                <w:sz w:val="18"/>
                <w:szCs w:val="18"/>
              </w:rPr>
              <w:t>10</w:t>
            </w:r>
            <w:r>
              <w:rPr>
                <w:sz w:val="18"/>
                <w:szCs w:val="18"/>
              </w:rPr>
              <w:t xml:space="preserve"> </w:t>
            </w:r>
            <w:r w:rsidRPr="00503074">
              <w:rPr>
                <w:sz w:val="18"/>
                <w:szCs w:val="18"/>
              </w:rPr>
              <w:t>mL</w:t>
            </w:r>
            <w:r>
              <w:rPr>
                <w:sz w:val="18"/>
                <w:szCs w:val="18"/>
              </w:rPr>
              <w:t xml:space="preserve"> </w:t>
            </w:r>
            <w:r w:rsidRPr="00503074">
              <w:rPr>
                <w:sz w:val="18"/>
                <w:szCs w:val="18"/>
              </w:rPr>
              <w:t>x</w:t>
            </w:r>
            <w:r>
              <w:rPr>
                <w:sz w:val="18"/>
                <w:szCs w:val="18"/>
              </w:rPr>
              <w:t>3-</w:t>
            </w:r>
            <w:r w:rsidRPr="00503074">
              <w:rPr>
                <w:sz w:val="18"/>
                <w:szCs w:val="18"/>
              </w:rPr>
              <w:t>4/d</w:t>
            </w:r>
          </w:p>
        </w:tc>
        <w:tc>
          <w:tcPr>
            <w:tcW w:w="1260" w:type="dxa"/>
          </w:tcPr>
          <w:p w:rsidR="009B5300" w:rsidRPr="00503074" w:rsidRDefault="009B5300" w:rsidP="00846E1F">
            <w:pPr>
              <w:pStyle w:val="ListParagraph"/>
              <w:spacing w:line="360" w:lineRule="auto"/>
              <w:ind w:left="0"/>
              <w:jc w:val="center"/>
              <w:rPr>
                <w:sz w:val="18"/>
                <w:szCs w:val="18"/>
              </w:rPr>
            </w:pPr>
            <w:r w:rsidRPr="00503074">
              <w:rPr>
                <w:sz w:val="18"/>
                <w:szCs w:val="18"/>
              </w:rPr>
              <w:t>No</w:t>
            </w:r>
          </w:p>
        </w:tc>
      </w:tr>
      <w:tr w:rsidR="009B5300" w:rsidRPr="00503074">
        <w:trPr>
          <w:trHeight w:hRule="exact" w:val="144"/>
        </w:trPr>
        <w:tc>
          <w:tcPr>
            <w:tcW w:w="1260" w:type="dxa"/>
            <w:vMerge/>
            <w:shd w:val="clear" w:color="auto" w:fill="auto"/>
          </w:tcPr>
          <w:p w:rsidR="009B5300" w:rsidRPr="00072A7E" w:rsidRDefault="009B5300" w:rsidP="001D67EC">
            <w:pPr>
              <w:pStyle w:val="ListParagraph"/>
              <w:spacing w:line="360" w:lineRule="auto"/>
              <w:ind w:left="72"/>
              <w:jc w:val="center"/>
              <w:rPr>
                <w:sz w:val="18"/>
                <w:szCs w:val="18"/>
              </w:rPr>
            </w:pPr>
          </w:p>
        </w:tc>
        <w:tc>
          <w:tcPr>
            <w:tcW w:w="1170" w:type="dxa"/>
            <w:vMerge/>
          </w:tcPr>
          <w:p w:rsidR="009B5300" w:rsidRDefault="009B5300" w:rsidP="001D67EC">
            <w:pPr>
              <w:pStyle w:val="ListParagraph"/>
              <w:spacing w:line="360" w:lineRule="auto"/>
              <w:ind w:left="72"/>
              <w:jc w:val="center"/>
              <w:rPr>
                <w:sz w:val="18"/>
                <w:szCs w:val="18"/>
              </w:rPr>
            </w:pPr>
          </w:p>
        </w:tc>
        <w:tc>
          <w:tcPr>
            <w:tcW w:w="6840" w:type="dxa"/>
            <w:gridSpan w:val="4"/>
          </w:tcPr>
          <w:p w:rsidR="009B5300" w:rsidRPr="000322EC" w:rsidRDefault="009B5300" w:rsidP="007555EF">
            <w:pPr>
              <w:pStyle w:val="ListParagraph"/>
              <w:spacing w:line="360" w:lineRule="auto"/>
              <w:ind w:left="72"/>
              <w:jc w:val="center"/>
              <w:rPr>
                <w:sz w:val="18"/>
                <w:szCs w:val="18"/>
              </w:rPr>
            </w:pPr>
          </w:p>
        </w:tc>
      </w:tr>
      <w:tr w:rsidR="009B5300" w:rsidRPr="00503074">
        <w:trPr>
          <w:trHeight w:val="512"/>
        </w:trPr>
        <w:tc>
          <w:tcPr>
            <w:tcW w:w="1260" w:type="dxa"/>
            <w:vMerge/>
            <w:shd w:val="clear" w:color="auto" w:fill="auto"/>
            <w:vAlign w:val="center"/>
          </w:tcPr>
          <w:p w:rsidR="009B5300" w:rsidRPr="00072A7E" w:rsidRDefault="009B5300" w:rsidP="009B5300">
            <w:pPr>
              <w:pStyle w:val="ListParagraph"/>
              <w:spacing w:line="360" w:lineRule="auto"/>
              <w:ind w:left="90"/>
              <w:rPr>
                <w:sz w:val="18"/>
                <w:szCs w:val="18"/>
              </w:rPr>
            </w:pPr>
          </w:p>
        </w:tc>
        <w:tc>
          <w:tcPr>
            <w:tcW w:w="1170" w:type="dxa"/>
            <w:shd w:val="clear" w:color="auto" w:fill="auto"/>
            <w:vAlign w:val="center"/>
          </w:tcPr>
          <w:p w:rsidR="009B5300" w:rsidRPr="00503074" w:rsidRDefault="009B5300" w:rsidP="009B5300">
            <w:pPr>
              <w:pStyle w:val="ListParagraph"/>
              <w:ind w:left="86"/>
              <w:rPr>
                <w:sz w:val="18"/>
                <w:szCs w:val="18"/>
              </w:rPr>
            </w:pPr>
            <w:r>
              <w:rPr>
                <w:sz w:val="18"/>
                <w:szCs w:val="18"/>
              </w:rPr>
              <w:t>calcineurin inhibitor</w:t>
            </w:r>
          </w:p>
        </w:tc>
        <w:tc>
          <w:tcPr>
            <w:tcW w:w="2340" w:type="dxa"/>
            <w:vAlign w:val="center"/>
          </w:tcPr>
          <w:p w:rsidR="009B5300" w:rsidRPr="000322EC" w:rsidRDefault="009B5300" w:rsidP="009B5300">
            <w:pPr>
              <w:pStyle w:val="ListParagraph"/>
              <w:spacing w:line="360" w:lineRule="auto"/>
              <w:ind w:left="90"/>
              <w:rPr>
                <w:sz w:val="18"/>
                <w:szCs w:val="18"/>
              </w:rPr>
            </w:pPr>
            <w:r w:rsidRPr="000322EC">
              <w:rPr>
                <w:sz w:val="18"/>
                <w:szCs w:val="18"/>
              </w:rPr>
              <w:t>Tacrolimus (oral solution)</w:t>
            </w:r>
          </w:p>
        </w:tc>
        <w:tc>
          <w:tcPr>
            <w:tcW w:w="1890" w:type="dxa"/>
            <w:vAlign w:val="center"/>
          </w:tcPr>
          <w:p w:rsidR="009B5300" w:rsidRPr="00503074" w:rsidRDefault="009B5300" w:rsidP="009B5300">
            <w:pPr>
              <w:pStyle w:val="ListParagraph"/>
              <w:spacing w:line="360" w:lineRule="auto"/>
              <w:ind w:left="72"/>
              <w:rPr>
                <w:sz w:val="18"/>
                <w:szCs w:val="18"/>
              </w:rPr>
            </w:pPr>
            <w:r w:rsidRPr="00503074">
              <w:rPr>
                <w:sz w:val="18"/>
                <w:szCs w:val="18"/>
              </w:rPr>
              <w:t>0.1mg/mL</w:t>
            </w:r>
            <w:r>
              <w:rPr>
                <w:sz w:val="18"/>
                <w:szCs w:val="18"/>
              </w:rPr>
              <w:t xml:space="preserve"> (0.01%</w:t>
            </w:r>
          </w:p>
        </w:tc>
        <w:tc>
          <w:tcPr>
            <w:tcW w:w="1350" w:type="dxa"/>
            <w:vAlign w:val="center"/>
          </w:tcPr>
          <w:p w:rsidR="009B5300" w:rsidRPr="00503074" w:rsidRDefault="009B5300" w:rsidP="009B5300">
            <w:pPr>
              <w:pStyle w:val="ListParagraph"/>
              <w:spacing w:line="360" w:lineRule="auto"/>
              <w:ind w:left="166"/>
              <w:rPr>
                <w:sz w:val="18"/>
                <w:szCs w:val="18"/>
              </w:rPr>
            </w:pPr>
            <w:r>
              <w:rPr>
                <w:sz w:val="18"/>
                <w:szCs w:val="18"/>
              </w:rPr>
              <w:t>5 mL x3/d</w:t>
            </w:r>
          </w:p>
        </w:tc>
        <w:tc>
          <w:tcPr>
            <w:tcW w:w="1260" w:type="dxa"/>
            <w:vAlign w:val="center"/>
          </w:tcPr>
          <w:p w:rsidR="009B5300" w:rsidRPr="00503074" w:rsidRDefault="009B5300" w:rsidP="009B5300">
            <w:pPr>
              <w:pStyle w:val="ListParagraph"/>
              <w:spacing w:line="360" w:lineRule="auto"/>
              <w:ind w:left="0"/>
              <w:jc w:val="center"/>
              <w:rPr>
                <w:sz w:val="18"/>
                <w:szCs w:val="18"/>
              </w:rPr>
            </w:pPr>
            <w:r w:rsidRPr="00503074">
              <w:rPr>
                <w:sz w:val="18"/>
                <w:szCs w:val="18"/>
              </w:rPr>
              <w:t>No</w:t>
            </w:r>
          </w:p>
        </w:tc>
      </w:tr>
      <w:tr w:rsidR="002610AA" w:rsidRPr="00503074">
        <w:tc>
          <w:tcPr>
            <w:tcW w:w="1260" w:type="dxa"/>
            <w:vMerge w:val="restart"/>
          </w:tcPr>
          <w:p w:rsidR="002610AA" w:rsidRPr="00072A7E" w:rsidRDefault="002610AA" w:rsidP="00C912D4">
            <w:pPr>
              <w:pStyle w:val="ListParagraph"/>
              <w:spacing w:line="360" w:lineRule="auto"/>
              <w:ind w:left="90"/>
              <w:rPr>
                <w:sz w:val="18"/>
                <w:szCs w:val="18"/>
              </w:rPr>
            </w:pPr>
            <w:r w:rsidRPr="00072A7E">
              <w:rPr>
                <w:b/>
                <w:bCs/>
                <w:sz w:val="18"/>
                <w:szCs w:val="18"/>
              </w:rPr>
              <w:t>Creams/gels/ointments</w:t>
            </w:r>
          </w:p>
        </w:tc>
        <w:tc>
          <w:tcPr>
            <w:tcW w:w="1170" w:type="dxa"/>
          </w:tcPr>
          <w:p w:rsidR="002610AA" w:rsidRPr="00503074" w:rsidRDefault="002610AA" w:rsidP="00C912D4">
            <w:pPr>
              <w:pStyle w:val="ListParagraph"/>
              <w:spacing w:line="360" w:lineRule="auto"/>
              <w:ind w:left="90"/>
              <w:rPr>
                <w:sz w:val="18"/>
                <w:szCs w:val="18"/>
              </w:rPr>
            </w:pPr>
            <w:r>
              <w:rPr>
                <w:sz w:val="18"/>
                <w:szCs w:val="18"/>
              </w:rPr>
              <w:t>Steroids</w:t>
            </w:r>
          </w:p>
        </w:tc>
        <w:tc>
          <w:tcPr>
            <w:tcW w:w="2340" w:type="dxa"/>
          </w:tcPr>
          <w:p w:rsidR="002610AA" w:rsidRPr="000322EC" w:rsidRDefault="002610AA" w:rsidP="00C912D4">
            <w:pPr>
              <w:pStyle w:val="ListParagraph"/>
              <w:spacing w:line="360" w:lineRule="auto"/>
              <w:ind w:left="90"/>
              <w:rPr>
                <w:sz w:val="18"/>
                <w:szCs w:val="18"/>
              </w:rPr>
            </w:pPr>
            <w:r w:rsidRPr="000322EC">
              <w:rPr>
                <w:sz w:val="18"/>
                <w:szCs w:val="18"/>
              </w:rPr>
              <w:t>Clobetasol cream/gel</w:t>
            </w:r>
          </w:p>
        </w:tc>
        <w:tc>
          <w:tcPr>
            <w:tcW w:w="1890" w:type="dxa"/>
          </w:tcPr>
          <w:p w:rsidR="002610AA" w:rsidRPr="00503074" w:rsidRDefault="002610AA" w:rsidP="007555EF">
            <w:pPr>
              <w:pStyle w:val="ListParagraph"/>
              <w:spacing w:line="360" w:lineRule="auto"/>
              <w:ind w:left="72"/>
              <w:jc w:val="center"/>
              <w:rPr>
                <w:sz w:val="18"/>
                <w:szCs w:val="18"/>
              </w:rPr>
            </w:pPr>
            <w:r w:rsidRPr="00503074">
              <w:rPr>
                <w:sz w:val="18"/>
                <w:szCs w:val="18"/>
              </w:rPr>
              <w:t>0.05%</w:t>
            </w:r>
          </w:p>
        </w:tc>
        <w:tc>
          <w:tcPr>
            <w:tcW w:w="1350" w:type="dxa"/>
          </w:tcPr>
          <w:p w:rsidR="002610AA" w:rsidRPr="00503074" w:rsidRDefault="002610AA" w:rsidP="00846E1F">
            <w:pPr>
              <w:pStyle w:val="ListParagraph"/>
              <w:spacing w:line="360" w:lineRule="auto"/>
              <w:ind w:left="166"/>
              <w:jc w:val="center"/>
              <w:rPr>
                <w:sz w:val="18"/>
                <w:szCs w:val="18"/>
              </w:rPr>
            </w:pPr>
            <w:r w:rsidRPr="00503074">
              <w:rPr>
                <w:sz w:val="18"/>
                <w:szCs w:val="18"/>
              </w:rPr>
              <w:t>x2/d</w:t>
            </w:r>
          </w:p>
        </w:tc>
        <w:tc>
          <w:tcPr>
            <w:tcW w:w="1260" w:type="dxa"/>
          </w:tcPr>
          <w:p w:rsidR="002610AA" w:rsidRPr="00503074" w:rsidRDefault="002610AA" w:rsidP="00846E1F">
            <w:pPr>
              <w:jc w:val="center"/>
              <w:rPr>
                <w:sz w:val="18"/>
                <w:szCs w:val="18"/>
              </w:rPr>
            </w:pPr>
            <w:r w:rsidRPr="00503074">
              <w:rPr>
                <w:sz w:val="18"/>
                <w:szCs w:val="18"/>
              </w:rPr>
              <w:t>Yes</w:t>
            </w:r>
          </w:p>
        </w:tc>
      </w:tr>
      <w:tr w:rsidR="002610AA" w:rsidRPr="00503074">
        <w:tc>
          <w:tcPr>
            <w:tcW w:w="1260" w:type="dxa"/>
            <w:vMerge/>
          </w:tcPr>
          <w:p w:rsidR="002610AA" w:rsidRPr="00503074" w:rsidRDefault="002610AA" w:rsidP="00C912D4">
            <w:pPr>
              <w:pStyle w:val="ListParagraph"/>
              <w:spacing w:line="360" w:lineRule="auto"/>
              <w:ind w:left="90"/>
              <w:rPr>
                <w:sz w:val="18"/>
                <w:szCs w:val="18"/>
              </w:rPr>
            </w:pPr>
          </w:p>
        </w:tc>
        <w:tc>
          <w:tcPr>
            <w:tcW w:w="1170" w:type="dxa"/>
          </w:tcPr>
          <w:p w:rsidR="002610AA" w:rsidRPr="00503074" w:rsidRDefault="002610AA" w:rsidP="00C912D4">
            <w:pPr>
              <w:pStyle w:val="ListParagraph"/>
              <w:spacing w:line="360" w:lineRule="auto"/>
              <w:ind w:left="90"/>
              <w:rPr>
                <w:sz w:val="18"/>
                <w:szCs w:val="18"/>
              </w:rPr>
            </w:pPr>
          </w:p>
        </w:tc>
        <w:tc>
          <w:tcPr>
            <w:tcW w:w="2340" w:type="dxa"/>
          </w:tcPr>
          <w:p w:rsidR="002610AA" w:rsidRPr="000322EC" w:rsidRDefault="002610AA" w:rsidP="00C912D4">
            <w:pPr>
              <w:pStyle w:val="ListParagraph"/>
              <w:spacing w:line="360" w:lineRule="auto"/>
              <w:ind w:left="90"/>
              <w:rPr>
                <w:sz w:val="18"/>
                <w:szCs w:val="18"/>
              </w:rPr>
            </w:pPr>
            <w:r w:rsidRPr="000322EC">
              <w:rPr>
                <w:sz w:val="18"/>
                <w:szCs w:val="18"/>
              </w:rPr>
              <w:t>Triamcinolone cream</w:t>
            </w:r>
            <w:r w:rsidR="000322EC" w:rsidRPr="000322EC">
              <w:rPr>
                <w:sz w:val="18"/>
                <w:szCs w:val="18"/>
                <w:vertAlign w:val="superscript"/>
              </w:rPr>
              <w:t>1</w:t>
            </w:r>
          </w:p>
        </w:tc>
        <w:tc>
          <w:tcPr>
            <w:tcW w:w="1890" w:type="dxa"/>
          </w:tcPr>
          <w:p w:rsidR="002610AA" w:rsidRPr="00503074" w:rsidRDefault="002610AA" w:rsidP="007555EF">
            <w:pPr>
              <w:pStyle w:val="ListParagraph"/>
              <w:spacing w:line="360" w:lineRule="auto"/>
              <w:ind w:left="72"/>
              <w:jc w:val="center"/>
              <w:rPr>
                <w:sz w:val="18"/>
                <w:szCs w:val="18"/>
              </w:rPr>
            </w:pPr>
            <w:r w:rsidRPr="00503074">
              <w:rPr>
                <w:sz w:val="18"/>
                <w:szCs w:val="18"/>
              </w:rPr>
              <w:t>0.1%</w:t>
            </w:r>
          </w:p>
        </w:tc>
        <w:tc>
          <w:tcPr>
            <w:tcW w:w="1350" w:type="dxa"/>
          </w:tcPr>
          <w:p w:rsidR="002610AA" w:rsidRPr="00503074" w:rsidRDefault="002610AA" w:rsidP="00846E1F">
            <w:pPr>
              <w:pStyle w:val="ListParagraph"/>
              <w:spacing w:line="360" w:lineRule="auto"/>
              <w:ind w:left="166"/>
              <w:jc w:val="center"/>
              <w:rPr>
                <w:sz w:val="18"/>
                <w:szCs w:val="18"/>
              </w:rPr>
            </w:pPr>
            <w:r w:rsidRPr="00503074">
              <w:rPr>
                <w:sz w:val="18"/>
                <w:szCs w:val="18"/>
              </w:rPr>
              <w:t>x2/d</w:t>
            </w:r>
          </w:p>
        </w:tc>
        <w:tc>
          <w:tcPr>
            <w:tcW w:w="1260" w:type="dxa"/>
          </w:tcPr>
          <w:p w:rsidR="002610AA" w:rsidRPr="00503074" w:rsidRDefault="002610AA" w:rsidP="00846E1F">
            <w:pPr>
              <w:jc w:val="center"/>
              <w:rPr>
                <w:sz w:val="18"/>
                <w:szCs w:val="18"/>
              </w:rPr>
            </w:pPr>
            <w:r w:rsidRPr="00503074">
              <w:rPr>
                <w:sz w:val="18"/>
                <w:szCs w:val="18"/>
              </w:rPr>
              <w:t>Yes</w:t>
            </w:r>
          </w:p>
        </w:tc>
      </w:tr>
      <w:tr w:rsidR="002610AA" w:rsidRPr="00503074">
        <w:tc>
          <w:tcPr>
            <w:tcW w:w="1260" w:type="dxa"/>
            <w:vMerge/>
          </w:tcPr>
          <w:p w:rsidR="002610AA" w:rsidRPr="00503074" w:rsidRDefault="002610AA" w:rsidP="00C912D4">
            <w:pPr>
              <w:pStyle w:val="ListParagraph"/>
              <w:spacing w:line="360" w:lineRule="auto"/>
              <w:ind w:left="90"/>
              <w:rPr>
                <w:sz w:val="18"/>
                <w:szCs w:val="18"/>
              </w:rPr>
            </w:pPr>
          </w:p>
        </w:tc>
        <w:tc>
          <w:tcPr>
            <w:tcW w:w="1170" w:type="dxa"/>
          </w:tcPr>
          <w:p w:rsidR="002610AA" w:rsidRPr="00503074" w:rsidRDefault="002610AA" w:rsidP="00C912D4">
            <w:pPr>
              <w:pStyle w:val="ListParagraph"/>
              <w:spacing w:line="360" w:lineRule="auto"/>
              <w:ind w:left="90"/>
              <w:rPr>
                <w:sz w:val="18"/>
                <w:szCs w:val="18"/>
              </w:rPr>
            </w:pPr>
          </w:p>
        </w:tc>
        <w:tc>
          <w:tcPr>
            <w:tcW w:w="2340" w:type="dxa"/>
          </w:tcPr>
          <w:p w:rsidR="002610AA" w:rsidRPr="000322EC" w:rsidRDefault="002610AA" w:rsidP="00C912D4">
            <w:pPr>
              <w:pStyle w:val="ListParagraph"/>
              <w:spacing w:line="360" w:lineRule="auto"/>
              <w:ind w:left="90"/>
              <w:rPr>
                <w:sz w:val="18"/>
                <w:szCs w:val="18"/>
              </w:rPr>
            </w:pPr>
            <w:r w:rsidRPr="000322EC">
              <w:rPr>
                <w:sz w:val="18"/>
                <w:szCs w:val="18"/>
              </w:rPr>
              <w:t>Triamcinolone cream</w:t>
            </w:r>
            <w:r w:rsidR="000322EC" w:rsidRPr="000322EC">
              <w:rPr>
                <w:sz w:val="18"/>
                <w:szCs w:val="18"/>
                <w:vertAlign w:val="superscript"/>
              </w:rPr>
              <w:t>1</w:t>
            </w:r>
          </w:p>
        </w:tc>
        <w:tc>
          <w:tcPr>
            <w:tcW w:w="1890" w:type="dxa"/>
          </w:tcPr>
          <w:p w:rsidR="002610AA" w:rsidRPr="00503074" w:rsidRDefault="002610AA" w:rsidP="007555EF">
            <w:pPr>
              <w:pStyle w:val="ListParagraph"/>
              <w:spacing w:line="360" w:lineRule="auto"/>
              <w:ind w:left="72"/>
              <w:jc w:val="center"/>
              <w:rPr>
                <w:sz w:val="18"/>
                <w:szCs w:val="18"/>
              </w:rPr>
            </w:pPr>
            <w:r w:rsidRPr="00503074">
              <w:rPr>
                <w:sz w:val="18"/>
                <w:szCs w:val="18"/>
              </w:rPr>
              <w:t>0.5%</w:t>
            </w:r>
          </w:p>
        </w:tc>
        <w:tc>
          <w:tcPr>
            <w:tcW w:w="1350" w:type="dxa"/>
          </w:tcPr>
          <w:p w:rsidR="002610AA" w:rsidRPr="00503074" w:rsidRDefault="002610AA" w:rsidP="00846E1F">
            <w:pPr>
              <w:pStyle w:val="ListParagraph"/>
              <w:spacing w:line="360" w:lineRule="auto"/>
              <w:ind w:left="166"/>
              <w:jc w:val="center"/>
              <w:rPr>
                <w:sz w:val="18"/>
                <w:szCs w:val="18"/>
              </w:rPr>
            </w:pPr>
            <w:r w:rsidRPr="00503074">
              <w:rPr>
                <w:sz w:val="18"/>
                <w:szCs w:val="18"/>
              </w:rPr>
              <w:t>x2/d</w:t>
            </w:r>
          </w:p>
        </w:tc>
        <w:tc>
          <w:tcPr>
            <w:tcW w:w="1260" w:type="dxa"/>
          </w:tcPr>
          <w:p w:rsidR="002610AA" w:rsidRPr="00503074" w:rsidRDefault="002610AA" w:rsidP="00846E1F">
            <w:pPr>
              <w:jc w:val="center"/>
              <w:rPr>
                <w:sz w:val="18"/>
                <w:szCs w:val="18"/>
              </w:rPr>
            </w:pPr>
            <w:r w:rsidRPr="00503074">
              <w:rPr>
                <w:sz w:val="18"/>
                <w:szCs w:val="18"/>
              </w:rPr>
              <w:t>Yes</w:t>
            </w:r>
          </w:p>
        </w:tc>
      </w:tr>
      <w:tr w:rsidR="002610AA" w:rsidRPr="00503074">
        <w:tc>
          <w:tcPr>
            <w:tcW w:w="1260" w:type="dxa"/>
            <w:vMerge/>
          </w:tcPr>
          <w:p w:rsidR="002610AA" w:rsidRPr="00503074" w:rsidRDefault="002610AA" w:rsidP="00C912D4">
            <w:pPr>
              <w:pStyle w:val="ListParagraph"/>
              <w:spacing w:line="360" w:lineRule="auto"/>
              <w:ind w:left="90"/>
              <w:rPr>
                <w:sz w:val="18"/>
                <w:szCs w:val="18"/>
              </w:rPr>
            </w:pPr>
          </w:p>
        </w:tc>
        <w:tc>
          <w:tcPr>
            <w:tcW w:w="1170" w:type="dxa"/>
          </w:tcPr>
          <w:p w:rsidR="002610AA" w:rsidRPr="00503074" w:rsidRDefault="002610AA" w:rsidP="00C912D4">
            <w:pPr>
              <w:pStyle w:val="ListParagraph"/>
              <w:spacing w:line="360" w:lineRule="auto"/>
              <w:ind w:left="90"/>
              <w:rPr>
                <w:sz w:val="18"/>
                <w:szCs w:val="18"/>
              </w:rPr>
            </w:pPr>
          </w:p>
        </w:tc>
        <w:tc>
          <w:tcPr>
            <w:tcW w:w="2340" w:type="dxa"/>
          </w:tcPr>
          <w:p w:rsidR="002610AA" w:rsidRPr="000322EC" w:rsidRDefault="002610AA" w:rsidP="00C912D4">
            <w:pPr>
              <w:pStyle w:val="ListParagraph"/>
              <w:spacing w:line="360" w:lineRule="auto"/>
              <w:ind w:left="90"/>
              <w:rPr>
                <w:sz w:val="18"/>
                <w:szCs w:val="18"/>
              </w:rPr>
            </w:pPr>
            <w:r w:rsidRPr="000322EC">
              <w:rPr>
                <w:sz w:val="18"/>
                <w:szCs w:val="18"/>
              </w:rPr>
              <w:t>Halobetasol cream</w:t>
            </w:r>
            <w:r w:rsidR="000322EC" w:rsidRPr="000322EC">
              <w:rPr>
                <w:sz w:val="18"/>
                <w:szCs w:val="18"/>
                <w:vertAlign w:val="superscript"/>
              </w:rPr>
              <w:t>1</w:t>
            </w:r>
          </w:p>
        </w:tc>
        <w:tc>
          <w:tcPr>
            <w:tcW w:w="1890" w:type="dxa"/>
          </w:tcPr>
          <w:p w:rsidR="002610AA" w:rsidRPr="00503074" w:rsidRDefault="002610AA" w:rsidP="007555EF">
            <w:pPr>
              <w:pStyle w:val="ListParagraph"/>
              <w:spacing w:line="360" w:lineRule="auto"/>
              <w:ind w:left="72"/>
              <w:jc w:val="center"/>
              <w:rPr>
                <w:sz w:val="18"/>
                <w:szCs w:val="18"/>
              </w:rPr>
            </w:pPr>
            <w:r w:rsidRPr="00503074">
              <w:rPr>
                <w:sz w:val="18"/>
                <w:szCs w:val="18"/>
              </w:rPr>
              <w:t>0.05%</w:t>
            </w:r>
          </w:p>
        </w:tc>
        <w:tc>
          <w:tcPr>
            <w:tcW w:w="1350" w:type="dxa"/>
          </w:tcPr>
          <w:p w:rsidR="002610AA" w:rsidRPr="00503074" w:rsidRDefault="002610AA" w:rsidP="00846E1F">
            <w:pPr>
              <w:pStyle w:val="ListParagraph"/>
              <w:spacing w:line="360" w:lineRule="auto"/>
              <w:ind w:left="166"/>
              <w:jc w:val="center"/>
              <w:rPr>
                <w:sz w:val="18"/>
                <w:szCs w:val="18"/>
              </w:rPr>
            </w:pPr>
            <w:r w:rsidRPr="00503074">
              <w:rPr>
                <w:sz w:val="18"/>
                <w:szCs w:val="18"/>
              </w:rPr>
              <w:t>x2/d</w:t>
            </w:r>
          </w:p>
        </w:tc>
        <w:tc>
          <w:tcPr>
            <w:tcW w:w="1260" w:type="dxa"/>
          </w:tcPr>
          <w:p w:rsidR="002610AA" w:rsidRPr="00503074" w:rsidRDefault="002610AA" w:rsidP="00846E1F">
            <w:pPr>
              <w:pStyle w:val="ListParagraph"/>
              <w:spacing w:line="360" w:lineRule="auto"/>
              <w:ind w:left="0"/>
              <w:jc w:val="center"/>
              <w:rPr>
                <w:sz w:val="18"/>
                <w:szCs w:val="18"/>
              </w:rPr>
            </w:pPr>
            <w:r w:rsidRPr="00503074">
              <w:rPr>
                <w:sz w:val="18"/>
                <w:szCs w:val="18"/>
              </w:rPr>
              <w:t>Yes</w:t>
            </w:r>
          </w:p>
        </w:tc>
      </w:tr>
      <w:tr w:rsidR="002610AA" w:rsidRPr="00503074">
        <w:tc>
          <w:tcPr>
            <w:tcW w:w="1260" w:type="dxa"/>
            <w:vMerge/>
          </w:tcPr>
          <w:p w:rsidR="002610AA" w:rsidRPr="00503074" w:rsidRDefault="002610AA" w:rsidP="00C912D4">
            <w:pPr>
              <w:pStyle w:val="ListParagraph"/>
              <w:spacing w:line="360" w:lineRule="auto"/>
              <w:ind w:left="90"/>
              <w:rPr>
                <w:sz w:val="18"/>
                <w:szCs w:val="18"/>
              </w:rPr>
            </w:pPr>
          </w:p>
        </w:tc>
        <w:tc>
          <w:tcPr>
            <w:tcW w:w="1170" w:type="dxa"/>
          </w:tcPr>
          <w:p w:rsidR="002610AA" w:rsidRPr="00503074" w:rsidRDefault="002610AA" w:rsidP="00C912D4">
            <w:pPr>
              <w:pStyle w:val="ListParagraph"/>
              <w:spacing w:line="360" w:lineRule="auto"/>
              <w:ind w:left="90"/>
              <w:rPr>
                <w:sz w:val="18"/>
                <w:szCs w:val="18"/>
              </w:rPr>
            </w:pPr>
          </w:p>
        </w:tc>
        <w:tc>
          <w:tcPr>
            <w:tcW w:w="2340" w:type="dxa"/>
          </w:tcPr>
          <w:p w:rsidR="002610AA" w:rsidRPr="000322EC" w:rsidRDefault="002610AA" w:rsidP="00C912D4">
            <w:pPr>
              <w:pStyle w:val="ListParagraph"/>
              <w:spacing w:line="360" w:lineRule="auto"/>
              <w:ind w:left="90"/>
              <w:rPr>
                <w:sz w:val="18"/>
                <w:szCs w:val="18"/>
              </w:rPr>
            </w:pPr>
            <w:r w:rsidRPr="000322EC">
              <w:rPr>
                <w:sz w:val="18"/>
                <w:szCs w:val="18"/>
              </w:rPr>
              <w:t>Betamethasone cream/oint</w:t>
            </w:r>
            <w:r w:rsidR="00072A7E">
              <w:rPr>
                <w:sz w:val="18"/>
                <w:szCs w:val="18"/>
              </w:rPr>
              <w:t>ment</w:t>
            </w:r>
            <w:r w:rsidRPr="000322EC">
              <w:rPr>
                <w:sz w:val="18"/>
                <w:szCs w:val="18"/>
              </w:rPr>
              <w:t>/gel</w:t>
            </w:r>
            <w:r w:rsidR="000322EC" w:rsidRPr="000322EC">
              <w:rPr>
                <w:sz w:val="18"/>
                <w:szCs w:val="18"/>
                <w:vertAlign w:val="superscript"/>
              </w:rPr>
              <w:t>1</w:t>
            </w:r>
          </w:p>
        </w:tc>
        <w:tc>
          <w:tcPr>
            <w:tcW w:w="1890" w:type="dxa"/>
          </w:tcPr>
          <w:p w:rsidR="002610AA" w:rsidRPr="00503074" w:rsidRDefault="002610AA" w:rsidP="007555EF">
            <w:pPr>
              <w:pStyle w:val="ListParagraph"/>
              <w:spacing w:line="360" w:lineRule="auto"/>
              <w:ind w:left="72"/>
              <w:jc w:val="center"/>
              <w:rPr>
                <w:sz w:val="18"/>
                <w:szCs w:val="18"/>
              </w:rPr>
            </w:pPr>
            <w:r w:rsidRPr="00503074">
              <w:rPr>
                <w:sz w:val="18"/>
                <w:szCs w:val="18"/>
              </w:rPr>
              <w:t>0.05%</w:t>
            </w:r>
          </w:p>
        </w:tc>
        <w:tc>
          <w:tcPr>
            <w:tcW w:w="1350" w:type="dxa"/>
          </w:tcPr>
          <w:p w:rsidR="002610AA" w:rsidRPr="00503074" w:rsidRDefault="002610AA" w:rsidP="00846E1F">
            <w:pPr>
              <w:pStyle w:val="ListParagraph"/>
              <w:spacing w:line="360" w:lineRule="auto"/>
              <w:ind w:left="166"/>
              <w:jc w:val="center"/>
              <w:rPr>
                <w:sz w:val="18"/>
                <w:szCs w:val="18"/>
              </w:rPr>
            </w:pPr>
            <w:r w:rsidRPr="00503074">
              <w:rPr>
                <w:sz w:val="18"/>
                <w:szCs w:val="18"/>
              </w:rPr>
              <w:t>x2/d</w:t>
            </w:r>
          </w:p>
        </w:tc>
        <w:tc>
          <w:tcPr>
            <w:tcW w:w="1260" w:type="dxa"/>
          </w:tcPr>
          <w:p w:rsidR="002610AA" w:rsidRPr="00503074" w:rsidRDefault="002610AA" w:rsidP="00846E1F">
            <w:pPr>
              <w:pStyle w:val="ListParagraph"/>
              <w:spacing w:line="360" w:lineRule="auto"/>
              <w:ind w:left="0"/>
              <w:jc w:val="center"/>
              <w:rPr>
                <w:sz w:val="18"/>
                <w:szCs w:val="18"/>
              </w:rPr>
            </w:pPr>
            <w:r w:rsidRPr="00503074">
              <w:rPr>
                <w:sz w:val="18"/>
                <w:szCs w:val="18"/>
              </w:rPr>
              <w:t>Yes</w:t>
            </w:r>
          </w:p>
        </w:tc>
      </w:tr>
      <w:tr w:rsidR="002610AA" w:rsidRPr="00503074">
        <w:tc>
          <w:tcPr>
            <w:tcW w:w="1260" w:type="dxa"/>
            <w:vMerge/>
          </w:tcPr>
          <w:p w:rsidR="002610AA" w:rsidRPr="00503074" w:rsidRDefault="002610AA" w:rsidP="00C912D4">
            <w:pPr>
              <w:pStyle w:val="ListParagraph"/>
              <w:spacing w:line="360" w:lineRule="auto"/>
              <w:ind w:left="90"/>
              <w:rPr>
                <w:sz w:val="18"/>
                <w:szCs w:val="18"/>
              </w:rPr>
            </w:pPr>
          </w:p>
        </w:tc>
        <w:tc>
          <w:tcPr>
            <w:tcW w:w="1170" w:type="dxa"/>
          </w:tcPr>
          <w:p w:rsidR="002610AA" w:rsidRPr="00503074" w:rsidRDefault="002610AA" w:rsidP="00C912D4">
            <w:pPr>
              <w:pStyle w:val="ListParagraph"/>
              <w:spacing w:line="360" w:lineRule="auto"/>
              <w:ind w:left="90"/>
              <w:rPr>
                <w:sz w:val="18"/>
                <w:szCs w:val="18"/>
              </w:rPr>
            </w:pPr>
          </w:p>
        </w:tc>
        <w:tc>
          <w:tcPr>
            <w:tcW w:w="2340" w:type="dxa"/>
          </w:tcPr>
          <w:p w:rsidR="002610AA" w:rsidRPr="000322EC" w:rsidRDefault="002610AA" w:rsidP="00C912D4">
            <w:pPr>
              <w:pStyle w:val="ListParagraph"/>
              <w:spacing w:line="360" w:lineRule="auto"/>
              <w:ind w:left="90"/>
              <w:rPr>
                <w:sz w:val="18"/>
                <w:szCs w:val="18"/>
              </w:rPr>
            </w:pPr>
            <w:r w:rsidRPr="000322EC">
              <w:rPr>
                <w:sz w:val="18"/>
                <w:szCs w:val="18"/>
              </w:rPr>
              <w:t>Betamethasone cream/oint</w:t>
            </w:r>
            <w:r w:rsidR="00072A7E">
              <w:rPr>
                <w:sz w:val="18"/>
                <w:szCs w:val="18"/>
              </w:rPr>
              <w:t>ment</w:t>
            </w:r>
            <w:r w:rsidR="000322EC" w:rsidRPr="000322EC">
              <w:rPr>
                <w:sz w:val="18"/>
                <w:szCs w:val="18"/>
                <w:vertAlign w:val="superscript"/>
              </w:rPr>
              <w:t xml:space="preserve"> 1</w:t>
            </w:r>
          </w:p>
        </w:tc>
        <w:tc>
          <w:tcPr>
            <w:tcW w:w="1890" w:type="dxa"/>
          </w:tcPr>
          <w:p w:rsidR="002610AA" w:rsidRPr="00503074" w:rsidRDefault="002610AA" w:rsidP="007555EF">
            <w:pPr>
              <w:pStyle w:val="ListParagraph"/>
              <w:spacing w:line="360" w:lineRule="auto"/>
              <w:ind w:left="72"/>
              <w:jc w:val="center"/>
              <w:rPr>
                <w:sz w:val="18"/>
                <w:szCs w:val="18"/>
              </w:rPr>
            </w:pPr>
            <w:r w:rsidRPr="00503074">
              <w:rPr>
                <w:sz w:val="18"/>
                <w:szCs w:val="18"/>
              </w:rPr>
              <w:t>0.1%</w:t>
            </w:r>
          </w:p>
        </w:tc>
        <w:tc>
          <w:tcPr>
            <w:tcW w:w="1350" w:type="dxa"/>
          </w:tcPr>
          <w:p w:rsidR="002610AA" w:rsidRPr="00503074" w:rsidRDefault="002610AA" w:rsidP="00846E1F">
            <w:pPr>
              <w:pStyle w:val="ListParagraph"/>
              <w:spacing w:line="360" w:lineRule="auto"/>
              <w:ind w:left="166"/>
              <w:jc w:val="center"/>
              <w:rPr>
                <w:sz w:val="18"/>
                <w:szCs w:val="18"/>
              </w:rPr>
            </w:pPr>
            <w:r w:rsidRPr="00503074">
              <w:rPr>
                <w:sz w:val="18"/>
                <w:szCs w:val="18"/>
              </w:rPr>
              <w:t>x2/d</w:t>
            </w:r>
          </w:p>
        </w:tc>
        <w:tc>
          <w:tcPr>
            <w:tcW w:w="1260" w:type="dxa"/>
          </w:tcPr>
          <w:p w:rsidR="002610AA" w:rsidRPr="00503074" w:rsidRDefault="002610AA" w:rsidP="00846E1F">
            <w:pPr>
              <w:pStyle w:val="ListParagraph"/>
              <w:spacing w:line="360" w:lineRule="auto"/>
              <w:ind w:left="0"/>
              <w:jc w:val="center"/>
              <w:rPr>
                <w:sz w:val="18"/>
                <w:szCs w:val="18"/>
              </w:rPr>
            </w:pPr>
            <w:r w:rsidRPr="00503074">
              <w:rPr>
                <w:sz w:val="18"/>
                <w:szCs w:val="18"/>
              </w:rPr>
              <w:t>Yes</w:t>
            </w:r>
          </w:p>
        </w:tc>
      </w:tr>
      <w:tr w:rsidR="002610AA" w:rsidRPr="00503074">
        <w:tc>
          <w:tcPr>
            <w:tcW w:w="1260" w:type="dxa"/>
            <w:vMerge/>
          </w:tcPr>
          <w:p w:rsidR="002610AA" w:rsidRPr="00503074" w:rsidRDefault="002610AA" w:rsidP="00C912D4">
            <w:pPr>
              <w:pStyle w:val="ListParagraph"/>
              <w:spacing w:line="360" w:lineRule="auto"/>
              <w:ind w:left="90"/>
              <w:rPr>
                <w:sz w:val="18"/>
                <w:szCs w:val="18"/>
              </w:rPr>
            </w:pPr>
          </w:p>
        </w:tc>
        <w:tc>
          <w:tcPr>
            <w:tcW w:w="1170" w:type="dxa"/>
          </w:tcPr>
          <w:p w:rsidR="002610AA" w:rsidRPr="00503074" w:rsidRDefault="002610AA" w:rsidP="00C912D4">
            <w:pPr>
              <w:pStyle w:val="ListParagraph"/>
              <w:spacing w:line="360" w:lineRule="auto"/>
              <w:ind w:left="90"/>
              <w:rPr>
                <w:sz w:val="18"/>
                <w:szCs w:val="18"/>
              </w:rPr>
            </w:pPr>
          </w:p>
        </w:tc>
        <w:tc>
          <w:tcPr>
            <w:tcW w:w="2340" w:type="dxa"/>
          </w:tcPr>
          <w:p w:rsidR="002610AA" w:rsidRPr="000322EC" w:rsidRDefault="002610AA" w:rsidP="00C912D4">
            <w:pPr>
              <w:pStyle w:val="ListParagraph"/>
              <w:spacing w:line="360" w:lineRule="auto"/>
              <w:ind w:left="90"/>
              <w:rPr>
                <w:sz w:val="18"/>
                <w:szCs w:val="18"/>
              </w:rPr>
            </w:pPr>
            <w:r w:rsidRPr="000322EC">
              <w:rPr>
                <w:sz w:val="18"/>
                <w:szCs w:val="18"/>
              </w:rPr>
              <w:t>Betamethasone oint</w:t>
            </w:r>
            <w:r w:rsidR="00072A7E">
              <w:rPr>
                <w:sz w:val="18"/>
                <w:szCs w:val="18"/>
              </w:rPr>
              <w:t>ment</w:t>
            </w:r>
            <w:r w:rsidR="000322EC" w:rsidRPr="000322EC">
              <w:rPr>
                <w:sz w:val="18"/>
                <w:szCs w:val="18"/>
                <w:vertAlign w:val="superscript"/>
              </w:rPr>
              <w:t>1</w:t>
            </w:r>
          </w:p>
        </w:tc>
        <w:tc>
          <w:tcPr>
            <w:tcW w:w="1890" w:type="dxa"/>
          </w:tcPr>
          <w:p w:rsidR="002610AA" w:rsidRPr="00503074" w:rsidRDefault="002610AA" w:rsidP="007555EF">
            <w:pPr>
              <w:pStyle w:val="ListParagraph"/>
              <w:spacing w:line="360" w:lineRule="auto"/>
              <w:ind w:left="72"/>
              <w:jc w:val="center"/>
              <w:rPr>
                <w:sz w:val="18"/>
                <w:szCs w:val="18"/>
              </w:rPr>
            </w:pPr>
            <w:r w:rsidRPr="00503074">
              <w:rPr>
                <w:sz w:val="18"/>
                <w:szCs w:val="18"/>
              </w:rPr>
              <w:t>0.</w:t>
            </w:r>
            <w:r w:rsidR="006245AB">
              <w:rPr>
                <w:sz w:val="18"/>
                <w:szCs w:val="18"/>
              </w:rPr>
              <w:t>0</w:t>
            </w:r>
            <w:r w:rsidRPr="00503074">
              <w:rPr>
                <w:sz w:val="18"/>
                <w:szCs w:val="18"/>
              </w:rPr>
              <w:t>5%</w:t>
            </w:r>
          </w:p>
        </w:tc>
        <w:tc>
          <w:tcPr>
            <w:tcW w:w="1350" w:type="dxa"/>
          </w:tcPr>
          <w:p w:rsidR="002610AA" w:rsidRPr="00503074" w:rsidRDefault="002610AA" w:rsidP="00846E1F">
            <w:pPr>
              <w:pStyle w:val="ListParagraph"/>
              <w:spacing w:line="360" w:lineRule="auto"/>
              <w:ind w:left="166"/>
              <w:jc w:val="center"/>
              <w:rPr>
                <w:sz w:val="18"/>
                <w:szCs w:val="18"/>
              </w:rPr>
            </w:pPr>
            <w:r w:rsidRPr="00503074">
              <w:rPr>
                <w:sz w:val="18"/>
                <w:szCs w:val="18"/>
              </w:rPr>
              <w:t>x2/d</w:t>
            </w:r>
          </w:p>
        </w:tc>
        <w:tc>
          <w:tcPr>
            <w:tcW w:w="1260" w:type="dxa"/>
          </w:tcPr>
          <w:p w:rsidR="002610AA" w:rsidRPr="00503074" w:rsidRDefault="006245AB" w:rsidP="00846E1F">
            <w:pPr>
              <w:pStyle w:val="ListParagraph"/>
              <w:spacing w:line="360" w:lineRule="auto"/>
              <w:ind w:left="0"/>
              <w:jc w:val="center"/>
              <w:rPr>
                <w:sz w:val="18"/>
                <w:szCs w:val="18"/>
              </w:rPr>
            </w:pPr>
            <w:r>
              <w:rPr>
                <w:sz w:val="18"/>
                <w:szCs w:val="18"/>
              </w:rPr>
              <w:t>Yes</w:t>
            </w:r>
          </w:p>
        </w:tc>
      </w:tr>
      <w:tr w:rsidR="002610AA" w:rsidRPr="00503074">
        <w:tc>
          <w:tcPr>
            <w:tcW w:w="1260" w:type="dxa"/>
            <w:vMerge/>
          </w:tcPr>
          <w:p w:rsidR="002610AA" w:rsidRPr="00503074" w:rsidRDefault="002610AA" w:rsidP="00C912D4">
            <w:pPr>
              <w:pStyle w:val="ListParagraph"/>
              <w:spacing w:line="360" w:lineRule="auto"/>
              <w:ind w:left="90"/>
              <w:rPr>
                <w:sz w:val="18"/>
                <w:szCs w:val="18"/>
              </w:rPr>
            </w:pPr>
          </w:p>
        </w:tc>
        <w:tc>
          <w:tcPr>
            <w:tcW w:w="1170" w:type="dxa"/>
          </w:tcPr>
          <w:p w:rsidR="002610AA" w:rsidRPr="00503074" w:rsidRDefault="002610AA" w:rsidP="00C912D4">
            <w:pPr>
              <w:pStyle w:val="ListParagraph"/>
              <w:spacing w:line="360" w:lineRule="auto"/>
              <w:ind w:left="90"/>
              <w:rPr>
                <w:sz w:val="18"/>
                <w:szCs w:val="18"/>
              </w:rPr>
            </w:pPr>
          </w:p>
        </w:tc>
        <w:tc>
          <w:tcPr>
            <w:tcW w:w="2340" w:type="dxa"/>
          </w:tcPr>
          <w:p w:rsidR="002610AA" w:rsidRPr="00503074" w:rsidRDefault="002610AA" w:rsidP="00C912D4">
            <w:pPr>
              <w:pStyle w:val="ListParagraph"/>
              <w:spacing w:line="360" w:lineRule="auto"/>
              <w:ind w:left="90"/>
              <w:rPr>
                <w:sz w:val="18"/>
                <w:szCs w:val="18"/>
              </w:rPr>
            </w:pPr>
            <w:r w:rsidRPr="00503074">
              <w:rPr>
                <w:sz w:val="18"/>
                <w:szCs w:val="18"/>
              </w:rPr>
              <w:t>Fluocinonide gel</w:t>
            </w:r>
          </w:p>
        </w:tc>
        <w:tc>
          <w:tcPr>
            <w:tcW w:w="1890" w:type="dxa"/>
          </w:tcPr>
          <w:p w:rsidR="002610AA" w:rsidRPr="00503074" w:rsidRDefault="002610AA" w:rsidP="007555EF">
            <w:pPr>
              <w:pStyle w:val="ListParagraph"/>
              <w:spacing w:line="360" w:lineRule="auto"/>
              <w:ind w:left="72"/>
              <w:jc w:val="center"/>
              <w:rPr>
                <w:sz w:val="18"/>
                <w:szCs w:val="18"/>
              </w:rPr>
            </w:pPr>
            <w:r w:rsidRPr="00503074">
              <w:rPr>
                <w:sz w:val="18"/>
                <w:szCs w:val="18"/>
              </w:rPr>
              <w:t>0.05%</w:t>
            </w:r>
          </w:p>
        </w:tc>
        <w:tc>
          <w:tcPr>
            <w:tcW w:w="1350" w:type="dxa"/>
          </w:tcPr>
          <w:p w:rsidR="002610AA" w:rsidRPr="00503074" w:rsidRDefault="002610AA" w:rsidP="00846E1F">
            <w:pPr>
              <w:pStyle w:val="ListParagraph"/>
              <w:spacing w:line="360" w:lineRule="auto"/>
              <w:ind w:left="166"/>
              <w:jc w:val="center"/>
              <w:rPr>
                <w:sz w:val="18"/>
                <w:szCs w:val="18"/>
              </w:rPr>
            </w:pPr>
            <w:r w:rsidRPr="00503074">
              <w:rPr>
                <w:sz w:val="18"/>
                <w:szCs w:val="18"/>
              </w:rPr>
              <w:t>x2/d</w:t>
            </w:r>
          </w:p>
        </w:tc>
        <w:tc>
          <w:tcPr>
            <w:tcW w:w="1260" w:type="dxa"/>
          </w:tcPr>
          <w:p w:rsidR="002610AA" w:rsidRPr="00503074" w:rsidRDefault="002610AA" w:rsidP="00846E1F">
            <w:pPr>
              <w:jc w:val="center"/>
              <w:rPr>
                <w:sz w:val="18"/>
                <w:szCs w:val="18"/>
              </w:rPr>
            </w:pPr>
            <w:r w:rsidRPr="00503074">
              <w:rPr>
                <w:sz w:val="18"/>
                <w:szCs w:val="18"/>
              </w:rPr>
              <w:t>Yes</w:t>
            </w:r>
          </w:p>
        </w:tc>
      </w:tr>
      <w:tr w:rsidR="00F960DE" w:rsidRPr="00503074">
        <w:trPr>
          <w:trHeight w:val="1009"/>
        </w:trPr>
        <w:tc>
          <w:tcPr>
            <w:tcW w:w="1260" w:type="dxa"/>
            <w:vMerge/>
          </w:tcPr>
          <w:p w:rsidR="00F960DE" w:rsidRPr="00503074" w:rsidRDefault="00F960DE" w:rsidP="00C912D4">
            <w:pPr>
              <w:pStyle w:val="ListParagraph"/>
              <w:spacing w:line="360" w:lineRule="auto"/>
              <w:ind w:left="90"/>
              <w:rPr>
                <w:sz w:val="18"/>
                <w:szCs w:val="18"/>
              </w:rPr>
            </w:pPr>
          </w:p>
        </w:tc>
        <w:tc>
          <w:tcPr>
            <w:tcW w:w="1170" w:type="dxa"/>
          </w:tcPr>
          <w:p w:rsidR="00F960DE" w:rsidRPr="00503074" w:rsidRDefault="00F960DE" w:rsidP="00C912D4">
            <w:pPr>
              <w:pStyle w:val="ListParagraph"/>
              <w:spacing w:line="360" w:lineRule="auto"/>
              <w:ind w:left="90"/>
              <w:rPr>
                <w:sz w:val="18"/>
                <w:szCs w:val="18"/>
              </w:rPr>
            </w:pPr>
            <w:r>
              <w:rPr>
                <w:sz w:val="18"/>
                <w:szCs w:val="18"/>
              </w:rPr>
              <w:t>Other immuno-modulators</w:t>
            </w:r>
          </w:p>
        </w:tc>
        <w:tc>
          <w:tcPr>
            <w:tcW w:w="2340" w:type="dxa"/>
          </w:tcPr>
          <w:p w:rsidR="00F960DE" w:rsidRPr="00503074" w:rsidRDefault="00F960DE" w:rsidP="00C912D4">
            <w:pPr>
              <w:pStyle w:val="ListParagraph"/>
              <w:spacing w:line="360" w:lineRule="auto"/>
              <w:ind w:left="90"/>
              <w:rPr>
                <w:sz w:val="18"/>
                <w:szCs w:val="18"/>
              </w:rPr>
            </w:pPr>
            <w:r w:rsidRPr="00503074">
              <w:rPr>
                <w:sz w:val="18"/>
                <w:szCs w:val="18"/>
              </w:rPr>
              <w:t>Tacrolimus oint</w:t>
            </w:r>
            <w:r w:rsidR="00D23F20">
              <w:rPr>
                <w:sz w:val="18"/>
                <w:szCs w:val="18"/>
              </w:rPr>
              <w:t>ment</w:t>
            </w:r>
          </w:p>
        </w:tc>
        <w:tc>
          <w:tcPr>
            <w:tcW w:w="1890" w:type="dxa"/>
          </w:tcPr>
          <w:p w:rsidR="00F960DE" w:rsidRPr="00503074" w:rsidRDefault="00F960DE" w:rsidP="007555EF">
            <w:pPr>
              <w:pStyle w:val="ListParagraph"/>
              <w:spacing w:line="360" w:lineRule="auto"/>
              <w:ind w:left="72"/>
              <w:jc w:val="center"/>
              <w:rPr>
                <w:sz w:val="18"/>
                <w:szCs w:val="18"/>
              </w:rPr>
            </w:pPr>
            <w:r w:rsidRPr="00503074">
              <w:rPr>
                <w:sz w:val="18"/>
                <w:szCs w:val="18"/>
              </w:rPr>
              <w:t>0.1%</w:t>
            </w:r>
          </w:p>
        </w:tc>
        <w:tc>
          <w:tcPr>
            <w:tcW w:w="1350" w:type="dxa"/>
          </w:tcPr>
          <w:p w:rsidR="00F960DE" w:rsidRPr="00503074" w:rsidRDefault="00F960DE" w:rsidP="00846E1F">
            <w:pPr>
              <w:pStyle w:val="ListParagraph"/>
              <w:spacing w:line="360" w:lineRule="auto"/>
              <w:ind w:left="166"/>
              <w:jc w:val="center"/>
              <w:rPr>
                <w:sz w:val="18"/>
                <w:szCs w:val="18"/>
              </w:rPr>
            </w:pPr>
            <w:r w:rsidRPr="00503074">
              <w:rPr>
                <w:sz w:val="18"/>
                <w:szCs w:val="18"/>
              </w:rPr>
              <w:t>x</w:t>
            </w:r>
            <w:r>
              <w:rPr>
                <w:sz w:val="18"/>
                <w:szCs w:val="18"/>
              </w:rPr>
              <w:t>3</w:t>
            </w:r>
            <w:r w:rsidRPr="00503074">
              <w:rPr>
                <w:sz w:val="18"/>
                <w:szCs w:val="18"/>
              </w:rPr>
              <w:t>/d</w:t>
            </w:r>
          </w:p>
        </w:tc>
        <w:tc>
          <w:tcPr>
            <w:tcW w:w="1260" w:type="dxa"/>
          </w:tcPr>
          <w:p w:rsidR="00F960DE" w:rsidRPr="00503074" w:rsidRDefault="00F960DE" w:rsidP="00846E1F">
            <w:pPr>
              <w:pStyle w:val="ListParagraph"/>
              <w:spacing w:line="360" w:lineRule="auto"/>
              <w:ind w:left="0"/>
              <w:jc w:val="center"/>
              <w:rPr>
                <w:sz w:val="18"/>
                <w:szCs w:val="18"/>
              </w:rPr>
            </w:pPr>
            <w:r w:rsidRPr="00503074">
              <w:rPr>
                <w:sz w:val="18"/>
                <w:szCs w:val="18"/>
              </w:rPr>
              <w:t>Yes</w:t>
            </w:r>
          </w:p>
        </w:tc>
      </w:tr>
    </w:tbl>
    <w:p w:rsidR="000322EC" w:rsidRDefault="000322EC" w:rsidP="000322EC">
      <w:pPr>
        <w:pStyle w:val="CommentText"/>
      </w:pPr>
      <w:r w:rsidRPr="00D23F20">
        <w:rPr>
          <w:sz w:val="18"/>
          <w:szCs w:val="18"/>
          <w:vertAlign w:val="superscript"/>
        </w:rPr>
        <w:t>1</w:t>
      </w:r>
      <w:r w:rsidR="00D23F20" w:rsidRPr="00D23F20">
        <w:t>P</w:t>
      </w:r>
      <w:r w:rsidRPr="00D23F20">
        <w:t xml:space="preserve">reparations </w:t>
      </w:r>
      <w:r w:rsidR="00D23F20" w:rsidRPr="00D23F20">
        <w:t xml:space="preserve">that </w:t>
      </w:r>
      <w:r w:rsidRPr="00D23F20">
        <w:t>are in use for oral vesicullobulous diseases and were suggested in the literature specifically for oral cGVHD.</w:t>
      </w:r>
    </w:p>
    <w:p w:rsidR="001D67EC" w:rsidRDefault="001D67EC" w:rsidP="00A86347">
      <w:pPr>
        <w:spacing w:after="0" w:line="360" w:lineRule="auto"/>
        <w:rPr>
          <w:rFonts w:ascii="Arial" w:hAnsi="Arial" w:cs="Arial"/>
        </w:rPr>
      </w:pPr>
    </w:p>
    <w:p w:rsidR="001D67EC" w:rsidRDefault="001D67EC" w:rsidP="00A86347">
      <w:pPr>
        <w:spacing w:after="0" w:line="360" w:lineRule="auto"/>
        <w:rPr>
          <w:rFonts w:ascii="Arial" w:hAnsi="Arial" w:cs="Arial"/>
        </w:rPr>
      </w:pPr>
    </w:p>
    <w:p w:rsidR="001A2A50" w:rsidRDefault="00A86347" w:rsidP="00A86347">
      <w:pPr>
        <w:spacing w:after="0" w:line="360" w:lineRule="auto"/>
        <w:rPr>
          <w:rFonts w:ascii="Arial" w:hAnsi="Arial" w:cs="Arial"/>
        </w:rPr>
      </w:pPr>
      <w:r w:rsidRPr="00A86347">
        <w:rPr>
          <w:rFonts w:ascii="Arial" w:hAnsi="Arial" w:cs="Arial"/>
          <w:b/>
        </w:rPr>
        <w:t>Pain Management</w:t>
      </w:r>
      <w:r>
        <w:rPr>
          <w:rFonts w:ascii="Arial" w:hAnsi="Arial" w:cs="Arial"/>
        </w:rPr>
        <w:t xml:space="preserve">:  </w:t>
      </w:r>
    </w:p>
    <w:p w:rsidR="00017CA9" w:rsidRDefault="00A86347" w:rsidP="001A2A50">
      <w:pPr>
        <w:spacing w:after="0" w:line="360" w:lineRule="auto"/>
        <w:rPr>
          <w:rFonts w:ascii="Arial" w:hAnsi="Arial" w:cs="Arial"/>
        </w:rPr>
      </w:pPr>
      <w:r w:rsidRPr="00643369">
        <w:rPr>
          <w:rFonts w:ascii="Arial" w:hAnsi="Arial" w:cs="Arial"/>
        </w:rPr>
        <w:t>Artificial saliva and oral lubricants can be prescribed to improve oral comfort (ex</w:t>
      </w:r>
      <w:r w:rsidR="003E49D4" w:rsidRPr="00643369">
        <w:rPr>
          <w:rFonts w:ascii="Arial" w:hAnsi="Arial" w:cs="Arial"/>
        </w:rPr>
        <w:t>amples include but are not limited to:</w:t>
      </w:r>
      <w:r w:rsidRPr="00643369">
        <w:rPr>
          <w:rFonts w:ascii="Arial" w:hAnsi="Arial" w:cs="Arial"/>
        </w:rPr>
        <w:t xml:space="preserve"> Oral Balance gel, Stoppers 4 Dry Mouth Spray, Oasis, Salivart, Xerolube).</w:t>
      </w:r>
      <w:r>
        <w:rPr>
          <w:rFonts w:ascii="Arial" w:hAnsi="Arial" w:cs="Arial"/>
        </w:rPr>
        <w:t xml:space="preserve">  Patient should be advised to use bland toothpaste (</w:t>
      </w:r>
      <w:r w:rsidRPr="00A86347">
        <w:rPr>
          <w:rFonts w:ascii="Arial" w:hAnsi="Arial" w:cs="Arial"/>
        </w:rPr>
        <w:t>ex. children’s toothpaste)</w:t>
      </w:r>
      <w:r>
        <w:rPr>
          <w:rFonts w:ascii="Arial" w:hAnsi="Arial" w:cs="Arial"/>
        </w:rPr>
        <w:t xml:space="preserve"> and a</w:t>
      </w:r>
      <w:r w:rsidRPr="00A86347">
        <w:rPr>
          <w:rFonts w:ascii="Arial" w:hAnsi="Arial" w:cs="Arial"/>
        </w:rPr>
        <w:t>lcohol free mouthwashes</w:t>
      </w:r>
      <w:r w:rsidR="00D23F20">
        <w:rPr>
          <w:rFonts w:ascii="Arial" w:hAnsi="Arial" w:cs="Arial"/>
        </w:rPr>
        <w:t xml:space="preserve"> to minimize irritation to the oral mucosa</w:t>
      </w:r>
      <w:r>
        <w:rPr>
          <w:rFonts w:ascii="Arial" w:hAnsi="Arial" w:cs="Arial"/>
        </w:rPr>
        <w:t xml:space="preserve">.  </w:t>
      </w:r>
      <w:r w:rsidR="00017CA9" w:rsidRPr="00A86347">
        <w:rPr>
          <w:rFonts w:ascii="Arial" w:hAnsi="Arial" w:cs="Arial"/>
        </w:rPr>
        <w:t xml:space="preserve">Viscous Lidocaine (2% solution) </w:t>
      </w:r>
      <w:r w:rsidR="00461F72">
        <w:rPr>
          <w:rFonts w:ascii="Arial" w:hAnsi="Arial" w:cs="Arial"/>
        </w:rPr>
        <w:t xml:space="preserve">individually, or </w:t>
      </w:r>
      <w:r w:rsidR="00017CA9" w:rsidRPr="00A86347">
        <w:rPr>
          <w:rFonts w:ascii="Arial" w:hAnsi="Arial" w:cs="Arial"/>
        </w:rPr>
        <w:t>mixed with K</w:t>
      </w:r>
      <w:r w:rsidR="00461F72">
        <w:rPr>
          <w:rFonts w:ascii="Arial" w:hAnsi="Arial" w:cs="Arial"/>
        </w:rPr>
        <w:t xml:space="preserve">aolin/Pectin or </w:t>
      </w:r>
      <w:r w:rsidR="00D23F20" w:rsidRPr="00D23F20">
        <w:rPr>
          <w:rFonts w:ascii="Arial" w:hAnsi="Arial"/>
          <w:sz w:val="24"/>
        </w:rPr>
        <w:t>aluminium hydroxide -</w:t>
      </w:r>
      <w:r w:rsidR="00D23F20" w:rsidRPr="00D23F20">
        <w:rPr>
          <w:rStyle w:val="Hyperlink"/>
          <w:rFonts w:ascii="Arial" w:hAnsi="Arial"/>
          <w:color w:val="auto"/>
          <w:sz w:val="24"/>
          <w:u w:val="none"/>
        </w:rPr>
        <w:t>magnesium hydroxide</w:t>
      </w:r>
      <w:r w:rsidR="00D23F20">
        <w:rPr>
          <w:rFonts w:ascii="Arial" w:hAnsi="Arial" w:cs="Arial"/>
        </w:rPr>
        <w:t xml:space="preserve"> (</w:t>
      </w:r>
      <w:r w:rsidR="00461F72">
        <w:rPr>
          <w:rFonts w:ascii="Arial" w:hAnsi="Arial" w:cs="Arial"/>
        </w:rPr>
        <w:t>Maalox</w:t>
      </w:r>
      <w:r w:rsidR="00D23F20">
        <w:rPr>
          <w:rFonts w:ascii="Arial" w:hAnsi="Arial" w:cs="Arial"/>
        </w:rPr>
        <w:t>)</w:t>
      </w:r>
      <w:r w:rsidR="00461F72">
        <w:rPr>
          <w:rFonts w:ascii="Arial" w:hAnsi="Arial" w:cs="Arial"/>
        </w:rPr>
        <w:t>-</w:t>
      </w:r>
      <w:r w:rsidR="00D23F20">
        <w:rPr>
          <w:rFonts w:ascii="Arial" w:hAnsi="Arial" w:cs="Arial"/>
        </w:rPr>
        <w:t xml:space="preserve">and diphenhydramine </w:t>
      </w:r>
      <w:r w:rsidR="00461F72">
        <w:rPr>
          <w:rFonts w:ascii="Arial" w:hAnsi="Arial" w:cs="Arial"/>
        </w:rPr>
        <w:t xml:space="preserve">(1:1:1) may provide some pain relief.  Patients </w:t>
      </w:r>
      <w:r w:rsidR="00D23F20">
        <w:rPr>
          <w:rFonts w:ascii="Arial" w:hAnsi="Arial" w:cs="Arial"/>
        </w:rPr>
        <w:t xml:space="preserve">may </w:t>
      </w:r>
      <w:r w:rsidR="00461F72">
        <w:rPr>
          <w:rFonts w:ascii="Arial" w:hAnsi="Arial" w:cs="Arial"/>
        </w:rPr>
        <w:t xml:space="preserve">swish </w:t>
      </w:r>
      <w:r w:rsidR="00D23F20">
        <w:rPr>
          <w:rFonts w:ascii="Arial" w:hAnsi="Arial" w:cs="Arial"/>
        </w:rPr>
        <w:t xml:space="preserve">with 5 mL for 5 minutes </w:t>
      </w:r>
      <w:r w:rsidR="00461F72">
        <w:rPr>
          <w:rFonts w:ascii="Arial" w:hAnsi="Arial" w:cs="Arial"/>
        </w:rPr>
        <w:t>and spit</w:t>
      </w:r>
      <w:r w:rsidR="00D23F20">
        <w:rPr>
          <w:rFonts w:ascii="Arial" w:hAnsi="Arial" w:cs="Arial"/>
        </w:rPr>
        <w:t xml:space="preserve">, </w:t>
      </w:r>
      <w:r w:rsidR="001A2A50">
        <w:rPr>
          <w:rFonts w:ascii="Arial" w:hAnsi="Arial" w:cs="Arial"/>
        </w:rPr>
        <w:t>preferably not more than 5 times daily</w:t>
      </w:r>
      <w:r w:rsidR="00D23F20">
        <w:rPr>
          <w:rFonts w:ascii="Arial" w:hAnsi="Arial" w:cs="Arial"/>
        </w:rPr>
        <w:t xml:space="preserve"> to limit possible lidocaine systemic absorption</w:t>
      </w:r>
      <w:r w:rsidR="00461F72">
        <w:rPr>
          <w:rFonts w:ascii="Arial" w:hAnsi="Arial" w:cs="Arial"/>
        </w:rPr>
        <w:t>.</w:t>
      </w:r>
    </w:p>
    <w:p w:rsidR="00461F72" w:rsidRDefault="00461F72" w:rsidP="00A86347">
      <w:pPr>
        <w:spacing w:after="0" w:line="360" w:lineRule="auto"/>
        <w:rPr>
          <w:rFonts w:ascii="Arial" w:hAnsi="Arial" w:cs="Arial"/>
          <w:b/>
        </w:rPr>
      </w:pPr>
    </w:p>
    <w:p w:rsidR="000B2DE8" w:rsidRDefault="000B2DE8" w:rsidP="000B2DE8">
      <w:pPr>
        <w:spacing w:after="0" w:line="360" w:lineRule="auto"/>
        <w:rPr>
          <w:rFonts w:ascii="Arial" w:hAnsi="Arial" w:cs="Arial"/>
        </w:rPr>
      </w:pPr>
      <w:r>
        <w:rPr>
          <w:rFonts w:ascii="Arial" w:hAnsi="Arial" w:cs="Arial"/>
          <w:b/>
        </w:rPr>
        <w:t>Dental Decay</w:t>
      </w:r>
      <w:r w:rsidR="00461F72" w:rsidRPr="00461F72">
        <w:rPr>
          <w:rFonts w:ascii="Arial" w:hAnsi="Arial" w:cs="Arial"/>
          <w:b/>
        </w:rPr>
        <w:t xml:space="preserve"> Prevention</w:t>
      </w:r>
      <w:r w:rsidR="00461F72">
        <w:rPr>
          <w:rFonts w:ascii="Arial" w:hAnsi="Arial" w:cs="Arial"/>
        </w:rPr>
        <w:t xml:space="preserve">:  </w:t>
      </w:r>
    </w:p>
    <w:p w:rsidR="00461F72" w:rsidRDefault="00461F72" w:rsidP="00A86347">
      <w:pPr>
        <w:spacing w:after="0" w:line="360" w:lineRule="auto"/>
        <w:rPr>
          <w:rFonts w:ascii="Arial" w:hAnsi="Arial" w:cs="Arial"/>
        </w:rPr>
      </w:pPr>
      <w:r>
        <w:rPr>
          <w:rFonts w:ascii="Arial" w:hAnsi="Arial" w:cs="Arial"/>
        </w:rPr>
        <w:t xml:space="preserve">High sugar diet should be avoided.  </w:t>
      </w:r>
      <w:r w:rsidRPr="00461F72">
        <w:rPr>
          <w:rFonts w:ascii="Arial" w:hAnsi="Arial" w:cs="Arial"/>
        </w:rPr>
        <w:t xml:space="preserve">Daily neutral 1.1% NaF </w:t>
      </w:r>
      <w:r>
        <w:rPr>
          <w:rFonts w:ascii="Arial" w:hAnsi="Arial" w:cs="Arial"/>
        </w:rPr>
        <w:t xml:space="preserve">application – gel or </w:t>
      </w:r>
      <w:r w:rsidR="003E49D4">
        <w:rPr>
          <w:rFonts w:ascii="Arial" w:hAnsi="Arial" w:cs="Arial"/>
        </w:rPr>
        <w:t xml:space="preserve">toothpaste </w:t>
      </w:r>
      <w:r w:rsidR="005B3927">
        <w:rPr>
          <w:rFonts w:ascii="Arial" w:hAnsi="Arial" w:cs="Arial"/>
        </w:rPr>
        <w:t>can be used for prevention of further dental decay</w:t>
      </w:r>
      <w:r>
        <w:rPr>
          <w:rFonts w:ascii="Arial" w:hAnsi="Arial" w:cs="Arial"/>
        </w:rPr>
        <w:t xml:space="preserve">. </w:t>
      </w:r>
      <w:r w:rsidR="00643369">
        <w:rPr>
          <w:rFonts w:ascii="Arial" w:hAnsi="Arial" w:cs="Arial"/>
        </w:rPr>
        <w:t xml:space="preserve">Neutral pH fluorides or non-mint flavored fluoride products are available and may be better tolerated when oral sensitivity exists. </w:t>
      </w:r>
      <w:r w:rsidRPr="00461F72">
        <w:rPr>
          <w:rFonts w:ascii="Arial" w:hAnsi="Arial" w:cs="Arial"/>
        </w:rPr>
        <w:t>May consider adding chlorhexidine mouth</w:t>
      </w:r>
      <w:r w:rsidR="009B5300">
        <w:rPr>
          <w:rFonts w:ascii="Arial" w:hAnsi="Arial" w:cs="Arial"/>
        </w:rPr>
        <w:t xml:space="preserve"> </w:t>
      </w:r>
      <w:r w:rsidRPr="00461F72">
        <w:rPr>
          <w:rFonts w:ascii="Arial" w:hAnsi="Arial" w:cs="Arial"/>
        </w:rPr>
        <w:t>rinse (prefer alcohol-fr</w:t>
      </w:r>
      <w:r>
        <w:rPr>
          <w:rFonts w:ascii="Arial" w:hAnsi="Arial" w:cs="Arial"/>
        </w:rPr>
        <w:t>ee) in caries-active patients (r</w:t>
      </w:r>
      <w:r w:rsidRPr="00461F72">
        <w:rPr>
          <w:rFonts w:ascii="Arial" w:hAnsi="Arial" w:cs="Arial"/>
        </w:rPr>
        <w:t xml:space="preserve">inse </w:t>
      </w:r>
      <w:r w:rsidR="00643369">
        <w:rPr>
          <w:rFonts w:ascii="Arial" w:hAnsi="Arial" w:cs="Arial"/>
        </w:rPr>
        <w:t xml:space="preserve">up to </w:t>
      </w:r>
      <w:r w:rsidRPr="00461F72">
        <w:rPr>
          <w:rFonts w:ascii="Arial" w:hAnsi="Arial" w:cs="Arial"/>
        </w:rPr>
        <w:t>twice daily</w:t>
      </w:r>
      <w:r>
        <w:rPr>
          <w:rFonts w:ascii="Arial" w:hAnsi="Arial" w:cs="Arial"/>
        </w:rPr>
        <w:t>)</w:t>
      </w:r>
      <w:r w:rsidR="000B2DE8">
        <w:rPr>
          <w:rFonts w:ascii="Arial" w:hAnsi="Arial" w:cs="Arial"/>
        </w:rPr>
        <w:t xml:space="preserve"> for limited durations</w:t>
      </w:r>
      <w:r w:rsidR="003E49D4">
        <w:rPr>
          <w:rFonts w:ascii="Arial" w:hAnsi="Arial" w:cs="Arial"/>
        </w:rPr>
        <w:t xml:space="preserve"> since it may cause taste loss</w:t>
      </w:r>
      <w:r w:rsidR="00643369">
        <w:rPr>
          <w:rFonts w:ascii="Arial" w:hAnsi="Arial" w:cs="Arial"/>
        </w:rPr>
        <w:t xml:space="preserve"> and tissue discoloration</w:t>
      </w:r>
      <w:r>
        <w:rPr>
          <w:rFonts w:ascii="Arial" w:hAnsi="Arial" w:cs="Arial"/>
        </w:rPr>
        <w:t xml:space="preserve">.  Patients </w:t>
      </w:r>
      <w:r w:rsidR="000B2DE8">
        <w:rPr>
          <w:rFonts w:ascii="Arial" w:hAnsi="Arial" w:cs="Arial"/>
        </w:rPr>
        <w:t>may</w:t>
      </w:r>
      <w:r>
        <w:rPr>
          <w:rFonts w:ascii="Arial" w:hAnsi="Arial" w:cs="Arial"/>
        </w:rPr>
        <w:t xml:space="preserve"> c</w:t>
      </w:r>
      <w:r w:rsidRPr="00461F72">
        <w:rPr>
          <w:rFonts w:ascii="Arial" w:hAnsi="Arial" w:cs="Arial"/>
        </w:rPr>
        <w:t>hew sugar free gum, either one that contains xylitol or Calcium Phosphate to stimulate saliva flow and prevent caries</w:t>
      </w:r>
      <w:r>
        <w:rPr>
          <w:rFonts w:ascii="Arial" w:hAnsi="Arial" w:cs="Arial"/>
        </w:rPr>
        <w:t>.</w:t>
      </w:r>
      <w:r w:rsidR="001A2A50">
        <w:rPr>
          <w:rFonts w:ascii="Arial" w:hAnsi="Arial" w:cs="Arial"/>
        </w:rPr>
        <w:t xml:space="preserve"> </w:t>
      </w:r>
    </w:p>
    <w:p w:rsidR="00A856D7" w:rsidRDefault="00A856D7" w:rsidP="00A86347">
      <w:pPr>
        <w:spacing w:after="0" w:line="360" w:lineRule="auto"/>
        <w:rPr>
          <w:rFonts w:ascii="Arial" w:hAnsi="Arial" w:cs="Arial"/>
          <w:b/>
        </w:rPr>
      </w:pPr>
    </w:p>
    <w:p w:rsidR="000B2DE8" w:rsidRDefault="00461F72" w:rsidP="00A86347">
      <w:pPr>
        <w:spacing w:after="0" w:line="360" w:lineRule="auto"/>
        <w:rPr>
          <w:rFonts w:ascii="Arial" w:hAnsi="Arial" w:cs="Arial"/>
        </w:rPr>
      </w:pPr>
      <w:r w:rsidRPr="00461F72">
        <w:rPr>
          <w:rFonts w:ascii="Arial" w:hAnsi="Arial" w:cs="Arial"/>
          <w:b/>
        </w:rPr>
        <w:t>Excessive Oral Dryness</w:t>
      </w:r>
      <w:r>
        <w:rPr>
          <w:rFonts w:ascii="Arial" w:hAnsi="Arial" w:cs="Arial"/>
        </w:rPr>
        <w:t xml:space="preserve">:  </w:t>
      </w:r>
    </w:p>
    <w:p w:rsidR="00643369" w:rsidRPr="00643369" w:rsidRDefault="00461F72" w:rsidP="00643369">
      <w:pPr>
        <w:spacing w:after="0" w:line="360" w:lineRule="auto"/>
        <w:rPr>
          <w:rFonts w:ascii="Arial" w:hAnsi="Arial" w:cs="Arial"/>
        </w:rPr>
      </w:pPr>
      <w:r>
        <w:rPr>
          <w:rFonts w:ascii="Arial" w:hAnsi="Arial" w:cs="Arial"/>
        </w:rPr>
        <w:t>Artificial saliva and lubricants as recommended above.</w:t>
      </w:r>
      <w:r w:rsidR="007E1281">
        <w:rPr>
          <w:rFonts w:ascii="Arial" w:hAnsi="Arial" w:cs="Arial"/>
        </w:rPr>
        <w:t xml:space="preserve"> </w:t>
      </w:r>
      <w:r>
        <w:rPr>
          <w:rFonts w:ascii="Arial" w:hAnsi="Arial" w:cs="Arial"/>
        </w:rPr>
        <w:t>In addition, systemic s</w:t>
      </w:r>
      <w:r w:rsidRPr="00461F72">
        <w:rPr>
          <w:rFonts w:ascii="Arial" w:hAnsi="Arial" w:cs="Arial"/>
        </w:rPr>
        <w:t>ialogogues</w:t>
      </w:r>
      <w:r>
        <w:rPr>
          <w:rFonts w:ascii="Arial" w:hAnsi="Arial" w:cs="Arial"/>
        </w:rPr>
        <w:t xml:space="preserve"> can be prescribed</w:t>
      </w:r>
      <w:r w:rsidR="000B2DE8">
        <w:rPr>
          <w:rFonts w:ascii="Arial" w:hAnsi="Arial" w:cs="Arial"/>
        </w:rPr>
        <w:t>:</w:t>
      </w:r>
      <w:r w:rsidR="007E1281">
        <w:rPr>
          <w:rFonts w:ascii="Arial" w:hAnsi="Arial" w:cs="Arial"/>
        </w:rPr>
        <w:t xml:space="preserve"> </w:t>
      </w:r>
      <w:r w:rsidR="00017CA9" w:rsidRPr="00A86347">
        <w:rPr>
          <w:rFonts w:ascii="Arial" w:hAnsi="Arial" w:cs="Arial"/>
        </w:rPr>
        <w:t xml:space="preserve">Cevimeline (30mg oral capsules): 30 mg orally </w:t>
      </w:r>
      <w:r w:rsidR="000B2DE8">
        <w:rPr>
          <w:rFonts w:ascii="Arial" w:hAnsi="Arial" w:cs="Arial"/>
        </w:rPr>
        <w:t>3</w:t>
      </w:r>
      <w:r w:rsidR="000B2DE8" w:rsidRPr="00A86347">
        <w:rPr>
          <w:rFonts w:ascii="Arial" w:hAnsi="Arial" w:cs="Arial"/>
        </w:rPr>
        <w:t xml:space="preserve"> </w:t>
      </w:r>
      <w:r w:rsidR="00017CA9" w:rsidRPr="00A86347">
        <w:rPr>
          <w:rFonts w:ascii="Arial" w:hAnsi="Arial" w:cs="Arial"/>
        </w:rPr>
        <w:t>times daily</w:t>
      </w:r>
      <w:r w:rsidR="007E1281">
        <w:rPr>
          <w:rFonts w:ascii="Arial" w:hAnsi="Arial" w:cs="Arial"/>
        </w:rPr>
        <w:t xml:space="preserve">; or </w:t>
      </w:r>
      <w:r w:rsidR="00017CA9" w:rsidRPr="00A86347">
        <w:rPr>
          <w:rFonts w:ascii="Arial" w:hAnsi="Arial" w:cs="Arial"/>
        </w:rPr>
        <w:t>Pilocarpine (5 mg tablets): 5-10 mg orally 3 times daily.</w:t>
      </w:r>
      <w:r w:rsidR="007E1281">
        <w:rPr>
          <w:rFonts w:ascii="Arial" w:hAnsi="Arial" w:cs="Arial"/>
        </w:rPr>
        <w:t xml:space="preserve"> </w:t>
      </w:r>
      <w:r w:rsidR="00643369" w:rsidRPr="00643369">
        <w:rPr>
          <w:rFonts w:ascii="Arial" w:hAnsi="Arial" w:cs="AdvTimes"/>
          <w:szCs w:val="21"/>
        </w:rPr>
        <w:t>Commercial lip-coating/moisturizers may relief the lip dryness.</w:t>
      </w:r>
      <w:r w:rsidR="00643369" w:rsidRPr="00643369">
        <w:rPr>
          <w:rFonts w:ascii="Arial" w:hAnsi="Arial" w:cs="Arial"/>
        </w:rPr>
        <w:t xml:space="preserve"> </w:t>
      </w:r>
      <w:r w:rsidR="00643369" w:rsidRPr="00643369">
        <w:rPr>
          <w:rFonts w:ascii="Arial" w:hAnsi="Arial" w:cs="AdvTimes"/>
          <w:szCs w:val="21"/>
        </w:rPr>
        <w:t xml:space="preserve">Lip-coating agents with SPF ratings </w:t>
      </w:r>
      <w:r w:rsidR="00643369" w:rsidRPr="00643369">
        <w:rPr>
          <w:rFonts w:ascii="Arial" w:hAnsi="Arial" w:cs="AdvPS4731B1"/>
          <w:szCs w:val="21"/>
        </w:rPr>
        <w:t>&gt;</w:t>
      </w:r>
      <w:r w:rsidR="00643369" w:rsidRPr="00643369">
        <w:rPr>
          <w:rFonts w:ascii="Arial" w:hAnsi="Arial" w:cs="AdvTimes"/>
          <w:szCs w:val="21"/>
        </w:rPr>
        <w:t>30 are preferred to minimize the risk for lip cancer.</w:t>
      </w:r>
    </w:p>
    <w:p w:rsidR="00A856D7" w:rsidRPr="00643369" w:rsidRDefault="00A856D7" w:rsidP="00A86347">
      <w:pPr>
        <w:spacing w:after="0" w:line="360" w:lineRule="auto"/>
        <w:rPr>
          <w:rFonts w:ascii="Arial" w:hAnsi="Arial" w:cs="Arial"/>
        </w:rPr>
      </w:pPr>
    </w:p>
    <w:p w:rsidR="003B71DA" w:rsidRPr="00A86347" w:rsidRDefault="00A856D7" w:rsidP="00A86347">
      <w:pPr>
        <w:spacing w:after="0" w:line="360" w:lineRule="auto"/>
        <w:rPr>
          <w:rFonts w:ascii="Arial" w:hAnsi="Arial" w:cs="Arial"/>
        </w:rPr>
      </w:pPr>
      <w:r w:rsidRPr="00643369">
        <w:rPr>
          <w:rFonts w:ascii="Arial" w:hAnsi="Arial" w:cs="Arial"/>
          <w:b/>
        </w:rPr>
        <w:t>Gastric Reflux:</w:t>
      </w:r>
      <w:r w:rsidRPr="00643369">
        <w:rPr>
          <w:rFonts w:ascii="Arial" w:hAnsi="Arial" w:cs="Arial"/>
        </w:rPr>
        <w:t xml:space="preserve"> if </w:t>
      </w:r>
      <w:r w:rsidR="00ED53A4" w:rsidRPr="00643369">
        <w:rPr>
          <w:rFonts w:ascii="Arial" w:hAnsi="Arial" w:cs="Arial"/>
        </w:rPr>
        <w:t xml:space="preserve">gastroesophageal </w:t>
      </w:r>
      <w:r w:rsidRPr="00643369">
        <w:rPr>
          <w:rFonts w:ascii="Arial" w:hAnsi="Arial" w:cs="Arial"/>
        </w:rPr>
        <w:t>reflux is present and the</w:t>
      </w:r>
      <w:r w:rsidR="00ED53A4" w:rsidRPr="00643369">
        <w:rPr>
          <w:rFonts w:ascii="Arial" w:hAnsi="Arial" w:cs="Arial"/>
        </w:rPr>
        <w:t xml:space="preserve">re is reduced saliva (and hence reduced salivary </w:t>
      </w:r>
      <w:r w:rsidRPr="00643369">
        <w:rPr>
          <w:rFonts w:ascii="Arial" w:hAnsi="Arial" w:cs="Arial"/>
        </w:rPr>
        <w:t>bicarbonate</w:t>
      </w:r>
      <w:r w:rsidR="00ED53A4" w:rsidRPr="00643369">
        <w:rPr>
          <w:rFonts w:ascii="Arial" w:hAnsi="Arial" w:cs="Arial"/>
        </w:rPr>
        <w:t>)</w:t>
      </w:r>
      <w:r w:rsidRPr="00643369">
        <w:rPr>
          <w:rFonts w:ascii="Arial" w:hAnsi="Arial" w:cs="Arial"/>
        </w:rPr>
        <w:t>, patients may benefit from proton pump inhibitors and anti-reflux measures to minimize oral mucosa</w:t>
      </w:r>
      <w:r w:rsidR="009B5300">
        <w:rPr>
          <w:rFonts w:ascii="Arial" w:hAnsi="Arial" w:cs="Arial"/>
        </w:rPr>
        <w:t>l symptoms</w:t>
      </w:r>
      <w:r w:rsidRPr="00643369">
        <w:rPr>
          <w:rFonts w:ascii="Arial" w:hAnsi="Arial" w:cs="Arial"/>
        </w:rPr>
        <w:t xml:space="preserve"> as a result of unopposed gastric acid.</w:t>
      </w:r>
      <w:r w:rsidR="003B71DA" w:rsidRPr="00A86347">
        <w:rPr>
          <w:rFonts w:ascii="Arial" w:hAnsi="Arial" w:cs="Arial"/>
        </w:rPr>
        <w:br w:type="page"/>
      </w:r>
    </w:p>
    <w:p w:rsidR="00017CA9" w:rsidRPr="002C0B1C" w:rsidRDefault="002C0B1C" w:rsidP="00A86347">
      <w:pPr>
        <w:spacing w:after="0" w:line="360" w:lineRule="auto"/>
        <w:rPr>
          <w:rFonts w:ascii="Arial" w:hAnsi="Arial" w:cs="Arial"/>
          <w:b/>
          <w:bCs/>
          <w:sz w:val="24"/>
        </w:rPr>
      </w:pPr>
      <w:r w:rsidRPr="002C0B1C">
        <w:rPr>
          <w:rFonts w:ascii="Arial" w:hAnsi="Arial" w:cs="Arial"/>
          <w:b/>
          <w:bCs/>
          <w:sz w:val="24"/>
        </w:rPr>
        <w:t xml:space="preserve">Supplement 4 - </w:t>
      </w:r>
      <w:r w:rsidR="00017CA9" w:rsidRPr="002C0B1C">
        <w:rPr>
          <w:rFonts w:ascii="Arial" w:hAnsi="Arial" w:cs="Arial"/>
          <w:b/>
          <w:bCs/>
          <w:sz w:val="24"/>
        </w:rPr>
        <w:t>Specific Dispensary Directions for Eyes</w:t>
      </w:r>
      <w:r w:rsidR="00036EBF" w:rsidRPr="002C0B1C">
        <w:rPr>
          <w:rFonts w:ascii="Arial" w:hAnsi="Arial" w:cs="Arial"/>
          <w:b/>
          <w:bCs/>
          <w:sz w:val="24"/>
        </w:rPr>
        <w:t>:</w:t>
      </w:r>
    </w:p>
    <w:p w:rsidR="00036EBF" w:rsidRPr="00A86347" w:rsidRDefault="00036EBF" w:rsidP="00A86347">
      <w:pPr>
        <w:spacing w:after="0" w:line="360" w:lineRule="auto"/>
        <w:rPr>
          <w:rFonts w:ascii="Arial" w:hAnsi="Arial" w:cs="Arial"/>
          <w:b/>
          <w:bCs/>
        </w:rPr>
      </w:pPr>
      <w:r>
        <w:rPr>
          <w:rFonts w:ascii="Arial" w:hAnsi="Arial" w:cs="Arial"/>
          <w:b/>
          <w:bCs/>
        </w:rPr>
        <w:t xml:space="preserve">Topical agents to potentially decrease </w:t>
      </w:r>
      <w:r w:rsidR="009B5300">
        <w:rPr>
          <w:rFonts w:ascii="Arial" w:hAnsi="Arial" w:cs="Arial"/>
          <w:b/>
          <w:bCs/>
        </w:rPr>
        <w:t>ocular</w:t>
      </w:r>
      <w:r>
        <w:rPr>
          <w:rFonts w:ascii="Arial" w:hAnsi="Arial" w:cs="Arial"/>
          <w:b/>
          <w:bCs/>
        </w:rPr>
        <w:t xml:space="preserve"> surface inflammation</w:t>
      </w:r>
      <w:r w:rsidR="004B47FC">
        <w:rPr>
          <w:rFonts w:ascii="Arial" w:hAnsi="Arial" w:cs="Arial"/>
          <w:b/>
          <w:bCs/>
        </w:rPr>
        <w:t>:</w:t>
      </w:r>
    </w:p>
    <w:p w:rsidR="00017CA9" w:rsidRPr="00A86347" w:rsidRDefault="00017CA9" w:rsidP="00A86347">
      <w:pPr>
        <w:spacing w:after="0" w:line="360" w:lineRule="auto"/>
        <w:rPr>
          <w:rFonts w:ascii="Arial" w:hAnsi="Arial" w:cs="Arial"/>
        </w:rPr>
      </w:pPr>
      <w:r w:rsidRPr="00A86347">
        <w:rPr>
          <w:rFonts w:ascii="Arial" w:hAnsi="Arial" w:cs="Arial"/>
        </w:rPr>
        <w:t>Cyclosporine (ophthalmic emulsion 0.05%): Appl</w:t>
      </w:r>
      <w:r w:rsidR="00036EBF">
        <w:rPr>
          <w:rFonts w:ascii="Arial" w:hAnsi="Arial" w:cs="Arial"/>
        </w:rPr>
        <w:t xml:space="preserve">y one drop in both eyes twice a </w:t>
      </w:r>
      <w:r w:rsidRPr="00A86347">
        <w:rPr>
          <w:rFonts w:ascii="Arial" w:hAnsi="Arial" w:cs="Arial"/>
        </w:rPr>
        <w:t>day.</w:t>
      </w:r>
    </w:p>
    <w:p w:rsidR="00017CA9" w:rsidRPr="00A86347" w:rsidRDefault="00017CA9" w:rsidP="00A86347">
      <w:pPr>
        <w:spacing w:after="0" w:line="360" w:lineRule="auto"/>
        <w:rPr>
          <w:rFonts w:ascii="Arial" w:hAnsi="Arial" w:cs="Arial"/>
        </w:rPr>
      </w:pPr>
      <w:r w:rsidRPr="00A86347">
        <w:rPr>
          <w:rFonts w:ascii="Arial" w:hAnsi="Arial" w:cs="Arial"/>
        </w:rPr>
        <w:t>Prednisolone (1.0% ophthalmic solution, e.g. Pre</w:t>
      </w:r>
      <w:r w:rsidR="00036EBF">
        <w:rPr>
          <w:rFonts w:ascii="Arial" w:hAnsi="Arial" w:cs="Arial"/>
        </w:rPr>
        <w:t xml:space="preserve">d Forte®) one drop in both eyes </w:t>
      </w:r>
      <w:r w:rsidRPr="00A86347">
        <w:rPr>
          <w:rFonts w:ascii="Arial" w:hAnsi="Arial" w:cs="Arial"/>
        </w:rPr>
        <w:t xml:space="preserve">2-4 times </w:t>
      </w:r>
      <w:r w:rsidR="009B5300">
        <w:rPr>
          <w:rFonts w:ascii="Arial" w:hAnsi="Arial" w:cs="Arial"/>
        </w:rPr>
        <w:t>daily</w:t>
      </w:r>
      <w:r w:rsidRPr="00A86347">
        <w:rPr>
          <w:rFonts w:ascii="Arial" w:hAnsi="Arial" w:cs="Arial"/>
        </w:rPr>
        <w:t>.</w:t>
      </w:r>
    </w:p>
    <w:p w:rsidR="00017CA9" w:rsidRPr="00A86347" w:rsidRDefault="00017CA9" w:rsidP="00A86347">
      <w:pPr>
        <w:spacing w:after="0" w:line="360" w:lineRule="auto"/>
        <w:rPr>
          <w:rFonts w:ascii="Arial" w:hAnsi="Arial" w:cs="Arial"/>
        </w:rPr>
      </w:pPr>
      <w:r w:rsidRPr="00A86347">
        <w:rPr>
          <w:rFonts w:ascii="Arial" w:hAnsi="Arial" w:cs="Arial"/>
        </w:rPr>
        <w:t>Fluorometholone (0.1/0.25% ophthalmic suspension) one drop in</w:t>
      </w:r>
      <w:r w:rsidR="00036EBF">
        <w:rPr>
          <w:rFonts w:ascii="Arial" w:hAnsi="Arial" w:cs="Arial"/>
        </w:rPr>
        <w:t xml:space="preserve"> both eyes 2-4 </w:t>
      </w:r>
      <w:r w:rsidRPr="00A86347">
        <w:rPr>
          <w:rFonts w:ascii="Arial" w:hAnsi="Arial" w:cs="Arial"/>
        </w:rPr>
        <w:t xml:space="preserve">times </w:t>
      </w:r>
      <w:r w:rsidR="009B5300">
        <w:rPr>
          <w:rFonts w:ascii="Arial" w:hAnsi="Arial" w:cs="Arial"/>
        </w:rPr>
        <w:t>dail</w:t>
      </w:r>
      <w:r w:rsidRPr="00A86347">
        <w:rPr>
          <w:rFonts w:ascii="Arial" w:hAnsi="Arial" w:cs="Arial"/>
        </w:rPr>
        <w:t>y.</w:t>
      </w:r>
    </w:p>
    <w:p w:rsidR="00017CA9" w:rsidRPr="00A86347" w:rsidRDefault="00017CA9" w:rsidP="00A86347">
      <w:pPr>
        <w:spacing w:after="0" w:line="360" w:lineRule="auto"/>
        <w:rPr>
          <w:rFonts w:ascii="Arial" w:hAnsi="Arial" w:cs="Arial"/>
        </w:rPr>
      </w:pPr>
      <w:r w:rsidRPr="00A86347">
        <w:rPr>
          <w:rFonts w:ascii="Arial" w:hAnsi="Arial" w:cs="Arial"/>
        </w:rPr>
        <w:t>Loteprednol etabonate (0.5% ophthalmic suspe</w:t>
      </w:r>
      <w:r w:rsidR="00036EBF">
        <w:rPr>
          <w:rFonts w:ascii="Arial" w:hAnsi="Arial" w:cs="Arial"/>
        </w:rPr>
        <w:t xml:space="preserve">nsion) 1-2 drops in both eyes 4 </w:t>
      </w:r>
      <w:r w:rsidRPr="00A86347">
        <w:rPr>
          <w:rFonts w:ascii="Arial" w:hAnsi="Arial" w:cs="Arial"/>
        </w:rPr>
        <w:t>times da</w:t>
      </w:r>
      <w:r w:rsidR="009B5300">
        <w:rPr>
          <w:rFonts w:ascii="Arial" w:hAnsi="Arial" w:cs="Arial"/>
        </w:rPr>
        <w:t>il</w:t>
      </w:r>
      <w:r w:rsidRPr="00A86347">
        <w:rPr>
          <w:rFonts w:ascii="Arial" w:hAnsi="Arial" w:cs="Arial"/>
        </w:rPr>
        <w:t>y.</w:t>
      </w:r>
    </w:p>
    <w:p w:rsidR="00036EBF" w:rsidRDefault="00036EBF" w:rsidP="00A86347">
      <w:pPr>
        <w:spacing w:after="0" w:line="360" w:lineRule="auto"/>
        <w:rPr>
          <w:rFonts w:ascii="Arial" w:hAnsi="Arial" w:cs="Arial"/>
        </w:rPr>
      </w:pPr>
    </w:p>
    <w:p w:rsidR="004B47FC" w:rsidRDefault="00036EBF" w:rsidP="004B47FC">
      <w:pPr>
        <w:spacing w:after="0" w:line="360" w:lineRule="auto"/>
        <w:rPr>
          <w:rFonts w:ascii="Arial" w:hAnsi="Arial" w:cs="Arial"/>
        </w:rPr>
      </w:pPr>
      <w:r w:rsidRPr="00036EBF">
        <w:rPr>
          <w:rFonts w:ascii="Arial" w:hAnsi="Arial" w:cs="Arial"/>
          <w:b/>
        </w:rPr>
        <w:t>Topical agents to support ocular lubrication</w:t>
      </w:r>
      <w:r>
        <w:rPr>
          <w:rFonts w:ascii="Arial" w:hAnsi="Arial" w:cs="Arial"/>
        </w:rPr>
        <w:t>:</w:t>
      </w:r>
      <w:r w:rsidR="004B47FC">
        <w:rPr>
          <w:rFonts w:ascii="Arial" w:hAnsi="Arial" w:cs="Arial"/>
        </w:rPr>
        <w:t xml:space="preserve">  P</w:t>
      </w:r>
      <w:r w:rsidR="004B47FC" w:rsidRPr="00A86347">
        <w:rPr>
          <w:rFonts w:ascii="Arial" w:hAnsi="Arial" w:cs="Arial"/>
        </w:rPr>
        <w:t>atients who depend on the use of artificia</w:t>
      </w:r>
      <w:r w:rsidR="004B47FC">
        <w:rPr>
          <w:rFonts w:ascii="Arial" w:hAnsi="Arial" w:cs="Arial"/>
        </w:rPr>
        <w:t xml:space="preserve">l tears more than 4 times a day </w:t>
      </w:r>
      <w:r w:rsidR="004B47FC" w:rsidRPr="00A86347">
        <w:rPr>
          <w:rFonts w:ascii="Arial" w:hAnsi="Arial" w:cs="Arial"/>
        </w:rPr>
        <w:t>should use preservative-free artificial tears</w:t>
      </w:r>
      <w:r w:rsidR="004B47FC">
        <w:rPr>
          <w:rFonts w:ascii="Arial" w:hAnsi="Arial" w:cs="Arial"/>
        </w:rPr>
        <w:t xml:space="preserve"> which are gentler for the ocular surface.  </w:t>
      </w:r>
      <w:r w:rsidR="004B47FC" w:rsidRPr="004B47FC">
        <w:rPr>
          <w:rFonts w:ascii="Arial" w:hAnsi="Arial" w:cs="Arial"/>
        </w:rPr>
        <w:t>The preservative-fr</w:t>
      </w:r>
      <w:r w:rsidR="004B47FC">
        <w:rPr>
          <w:rFonts w:ascii="Arial" w:hAnsi="Arial" w:cs="Arial"/>
        </w:rPr>
        <w:t xml:space="preserve">ee artificial tears may be used </w:t>
      </w:r>
      <w:r w:rsidR="004B47FC" w:rsidRPr="004B47FC">
        <w:rPr>
          <w:rFonts w:ascii="Arial" w:hAnsi="Arial" w:cs="Arial"/>
        </w:rPr>
        <w:t>as often as every 30 minutes, if needed. Patients should be counseled that one</w:t>
      </w:r>
      <w:r w:rsidR="004B47FC">
        <w:rPr>
          <w:rFonts w:ascii="Arial" w:hAnsi="Arial" w:cs="Arial"/>
        </w:rPr>
        <w:t xml:space="preserve"> </w:t>
      </w:r>
      <w:r w:rsidR="004B47FC" w:rsidRPr="004B47FC">
        <w:rPr>
          <w:rFonts w:ascii="Arial" w:hAnsi="Arial" w:cs="Arial"/>
        </w:rPr>
        <w:t>brand may work better than others for them.</w:t>
      </w:r>
    </w:p>
    <w:p w:rsidR="004B47FC" w:rsidRDefault="004B47FC" w:rsidP="004B47FC">
      <w:pPr>
        <w:pStyle w:val="ListParagraph"/>
        <w:numPr>
          <w:ilvl w:val="0"/>
          <w:numId w:val="7"/>
        </w:numPr>
        <w:spacing w:after="0" w:line="360" w:lineRule="auto"/>
        <w:rPr>
          <w:rFonts w:ascii="Arial" w:hAnsi="Arial" w:cs="Arial"/>
        </w:rPr>
      </w:pPr>
      <w:r w:rsidRPr="004B47FC">
        <w:rPr>
          <w:rFonts w:ascii="Arial" w:hAnsi="Arial" w:cs="Arial"/>
        </w:rPr>
        <w:t xml:space="preserve">Examples of some available brands are Refresh®, Refresh Endure®, Refresh Plus®, Systane®, Bion Tears®, TheraTears®, GenTeal PF®. </w:t>
      </w:r>
    </w:p>
    <w:p w:rsidR="004B47FC" w:rsidRDefault="004B47FC" w:rsidP="004B47FC">
      <w:pPr>
        <w:pStyle w:val="ListParagraph"/>
        <w:numPr>
          <w:ilvl w:val="0"/>
          <w:numId w:val="7"/>
        </w:numPr>
        <w:spacing w:after="0" w:line="360" w:lineRule="auto"/>
        <w:rPr>
          <w:rFonts w:ascii="Arial" w:hAnsi="Arial" w:cs="Arial"/>
        </w:rPr>
      </w:pPr>
      <w:r w:rsidRPr="00A86347">
        <w:rPr>
          <w:rFonts w:ascii="Arial" w:hAnsi="Arial" w:cs="Arial"/>
        </w:rPr>
        <w:t>Hydroxypropyl cellulose (i.e. Lacrisert® 5 mg oph</w:t>
      </w:r>
      <w:r>
        <w:rPr>
          <w:rFonts w:ascii="Arial" w:hAnsi="Arial" w:cs="Arial"/>
        </w:rPr>
        <w:t xml:space="preserve">thalmic insert). Place into the </w:t>
      </w:r>
      <w:r w:rsidRPr="00A86347">
        <w:rPr>
          <w:rFonts w:ascii="Arial" w:hAnsi="Arial" w:cs="Arial"/>
        </w:rPr>
        <w:t>cul-de-sac of the eye daily</w:t>
      </w:r>
      <w:r>
        <w:rPr>
          <w:rFonts w:ascii="Arial" w:hAnsi="Arial" w:cs="Arial"/>
        </w:rPr>
        <w:t xml:space="preserve"> as an alternative</w:t>
      </w:r>
    </w:p>
    <w:p w:rsidR="004B47FC" w:rsidRPr="004B47FC" w:rsidRDefault="004B47FC" w:rsidP="004B47FC">
      <w:pPr>
        <w:pStyle w:val="ListParagraph"/>
        <w:numPr>
          <w:ilvl w:val="0"/>
          <w:numId w:val="7"/>
        </w:numPr>
        <w:spacing w:after="0" w:line="360" w:lineRule="auto"/>
        <w:rPr>
          <w:rFonts w:ascii="Arial" w:hAnsi="Arial" w:cs="Arial"/>
        </w:rPr>
      </w:pPr>
      <w:r>
        <w:rPr>
          <w:rFonts w:ascii="Arial" w:hAnsi="Arial" w:cs="Arial"/>
        </w:rPr>
        <w:t>Autologous serum eye drops can be considered, but have limited availability</w:t>
      </w:r>
    </w:p>
    <w:p w:rsidR="004B47FC" w:rsidRPr="004B47FC" w:rsidRDefault="004B47FC" w:rsidP="004B47FC">
      <w:pPr>
        <w:pStyle w:val="ListParagraph"/>
        <w:numPr>
          <w:ilvl w:val="0"/>
          <w:numId w:val="7"/>
        </w:numPr>
        <w:spacing w:after="0" w:line="360" w:lineRule="auto"/>
        <w:rPr>
          <w:rFonts w:ascii="Arial" w:hAnsi="Arial" w:cs="Arial"/>
        </w:rPr>
      </w:pPr>
      <w:r w:rsidRPr="004B47FC">
        <w:rPr>
          <w:rFonts w:ascii="Arial" w:hAnsi="Arial" w:cs="Arial"/>
        </w:rPr>
        <w:t>Thicker formulations maybe helpful for patients requiring frequent use of artificial tears, and are most appro</w:t>
      </w:r>
      <w:r>
        <w:rPr>
          <w:rFonts w:ascii="Arial" w:hAnsi="Arial" w:cs="Arial"/>
        </w:rPr>
        <w:t xml:space="preserve">priately recommended at bedtime, such as </w:t>
      </w:r>
      <w:r w:rsidRPr="004B47FC">
        <w:rPr>
          <w:rFonts w:ascii="Arial" w:hAnsi="Arial" w:cs="Arial"/>
        </w:rPr>
        <w:t xml:space="preserve">Celluvisc®, and Genteal Gel ®, Lacrilube®, Hypotears® ointment </w:t>
      </w:r>
    </w:p>
    <w:p w:rsidR="00036EBF" w:rsidRDefault="00036EBF" w:rsidP="00A86347">
      <w:pPr>
        <w:spacing w:after="0" w:line="360" w:lineRule="auto"/>
        <w:rPr>
          <w:rFonts w:ascii="Arial" w:hAnsi="Arial" w:cs="Arial"/>
        </w:rPr>
      </w:pPr>
    </w:p>
    <w:p w:rsidR="004B47FC" w:rsidRDefault="004B47FC" w:rsidP="00A86347">
      <w:pPr>
        <w:spacing w:after="0" w:line="360" w:lineRule="auto"/>
        <w:rPr>
          <w:rFonts w:ascii="Arial" w:hAnsi="Arial" w:cs="Arial"/>
        </w:rPr>
      </w:pPr>
      <w:r w:rsidRPr="004B47FC">
        <w:rPr>
          <w:rFonts w:ascii="Arial" w:hAnsi="Arial" w:cs="Arial"/>
          <w:b/>
        </w:rPr>
        <w:t>Systemic medications that may increase tear production</w:t>
      </w:r>
      <w:r>
        <w:rPr>
          <w:rFonts w:ascii="Arial" w:hAnsi="Arial" w:cs="Arial"/>
        </w:rPr>
        <w:t>:</w:t>
      </w:r>
    </w:p>
    <w:p w:rsidR="00017CA9" w:rsidRPr="00A86347" w:rsidRDefault="00017CA9" w:rsidP="00A86347">
      <w:pPr>
        <w:spacing w:after="0" w:line="360" w:lineRule="auto"/>
        <w:rPr>
          <w:rFonts w:ascii="Arial" w:hAnsi="Arial" w:cs="Arial"/>
        </w:rPr>
      </w:pPr>
      <w:r w:rsidRPr="00A86347">
        <w:rPr>
          <w:rFonts w:ascii="Arial" w:hAnsi="Arial" w:cs="Arial"/>
        </w:rPr>
        <w:t>Cevimeline (30mg oral capsules): 30 mg orally three times daily</w:t>
      </w:r>
    </w:p>
    <w:p w:rsidR="00017CA9" w:rsidRPr="00A86347" w:rsidRDefault="00017CA9" w:rsidP="00A86347">
      <w:pPr>
        <w:spacing w:after="0" w:line="360" w:lineRule="auto"/>
        <w:rPr>
          <w:rFonts w:ascii="Arial" w:hAnsi="Arial" w:cs="Arial"/>
        </w:rPr>
      </w:pPr>
      <w:r w:rsidRPr="00A86347">
        <w:rPr>
          <w:rFonts w:ascii="Arial" w:hAnsi="Arial" w:cs="Arial"/>
        </w:rPr>
        <w:t>Pilocarpine (5 mg tablets</w:t>
      </w:r>
      <w:r w:rsidR="009F062A">
        <w:rPr>
          <w:rFonts w:ascii="Arial" w:hAnsi="Arial" w:cs="Arial"/>
        </w:rPr>
        <w:t>): 5-10 mg orally 3 times daily</w:t>
      </w:r>
    </w:p>
    <w:p w:rsidR="00017CA9" w:rsidRPr="00A86347" w:rsidRDefault="00017CA9" w:rsidP="00A86347">
      <w:pPr>
        <w:spacing w:after="0" w:line="360" w:lineRule="auto"/>
        <w:rPr>
          <w:rFonts w:ascii="Arial" w:hAnsi="Arial" w:cs="Arial"/>
        </w:rPr>
      </w:pPr>
    </w:p>
    <w:p w:rsidR="00FF2E60" w:rsidRDefault="00FF2E60">
      <w:pPr>
        <w:rPr>
          <w:rFonts w:ascii="Arial" w:hAnsi="Arial" w:cs="Arial"/>
          <w:b/>
          <w:bCs/>
        </w:rPr>
      </w:pPr>
      <w:r>
        <w:rPr>
          <w:rFonts w:ascii="Arial" w:hAnsi="Arial" w:cs="Arial"/>
          <w:b/>
          <w:bCs/>
        </w:rPr>
        <w:br w:type="page"/>
      </w:r>
    </w:p>
    <w:p w:rsidR="009F062A" w:rsidRDefault="002C0B1C" w:rsidP="00A86347">
      <w:pPr>
        <w:spacing w:after="0" w:line="360" w:lineRule="auto"/>
        <w:rPr>
          <w:rFonts w:ascii="Arial" w:hAnsi="Arial" w:cs="Arial"/>
          <w:b/>
          <w:bCs/>
          <w:sz w:val="24"/>
        </w:rPr>
      </w:pPr>
      <w:r w:rsidRPr="002C0B1C">
        <w:rPr>
          <w:rFonts w:ascii="Arial" w:hAnsi="Arial" w:cs="Arial"/>
          <w:b/>
          <w:bCs/>
          <w:sz w:val="24"/>
        </w:rPr>
        <w:t xml:space="preserve">Supplement 5 </w:t>
      </w:r>
      <w:r>
        <w:rPr>
          <w:rFonts w:ascii="Arial" w:hAnsi="Arial" w:cs="Arial"/>
          <w:b/>
          <w:bCs/>
          <w:sz w:val="24"/>
        </w:rPr>
        <w:t>–</w:t>
      </w:r>
      <w:r w:rsidRPr="002C0B1C">
        <w:rPr>
          <w:rFonts w:ascii="Arial" w:hAnsi="Arial" w:cs="Arial"/>
          <w:b/>
          <w:bCs/>
          <w:sz w:val="24"/>
        </w:rPr>
        <w:t xml:space="preserve"> </w:t>
      </w:r>
      <w:r>
        <w:rPr>
          <w:rFonts w:ascii="Arial" w:hAnsi="Arial" w:cs="Arial"/>
          <w:b/>
          <w:bCs/>
          <w:sz w:val="24"/>
        </w:rPr>
        <w:t xml:space="preserve">Routine Gynecological Health and </w:t>
      </w:r>
      <w:r w:rsidR="00017CA9" w:rsidRPr="002C0B1C">
        <w:rPr>
          <w:rFonts w:ascii="Arial" w:hAnsi="Arial" w:cs="Arial"/>
          <w:b/>
          <w:bCs/>
          <w:sz w:val="24"/>
        </w:rPr>
        <w:t>Specific Dispensary Directions for Vulva and Vagina</w:t>
      </w:r>
    </w:p>
    <w:p w:rsidR="009F062A" w:rsidRPr="002C0B1C" w:rsidRDefault="009F062A" w:rsidP="00A86347">
      <w:pPr>
        <w:spacing w:after="0" w:line="360" w:lineRule="auto"/>
        <w:rPr>
          <w:rFonts w:ascii="Arial" w:hAnsi="Arial" w:cs="Arial"/>
          <w:b/>
          <w:bCs/>
          <w:sz w:val="24"/>
        </w:rPr>
      </w:pPr>
    </w:p>
    <w:p w:rsidR="004B47FC" w:rsidRDefault="004B47FC" w:rsidP="004B47FC">
      <w:pPr>
        <w:spacing w:after="0" w:line="360" w:lineRule="auto"/>
        <w:rPr>
          <w:rFonts w:ascii="Arial" w:hAnsi="Arial" w:cs="Arial"/>
          <w:bCs/>
        </w:rPr>
      </w:pPr>
      <w:r w:rsidRPr="004B47FC">
        <w:rPr>
          <w:rFonts w:ascii="Arial" w:hAnsi="Arial" w:cs="Arial"/>
          <w:b/>
          <w:bCs/>
        </w:rPr>
        <w:t>General hygiene</w:t>
      </w:r>
      <w:r>
        <w:rPr>
          <w:rFonts w:ascii="Arial" w:hAnsi="Arial" w:cs="Arial"/>
          <w:b/>
          <w:bCs/>
        </w:rPr>
        <w:t xml:space="preserve">:  </w:t>
      </w:r>
      <w:r w:rsidRPr="004B47FC">
        <w:rPr>
          <w:rFonts w:ascii="Arial" w:hAnsi="Arial" w:cs="Arial"/>
          <w:bCs/>
        </w:rPr>
        <w:t xml:space="preserve">Irrespective of the underlying cause, the following hygiene measures are recommended for the prevention or alleviation of vulvar or vaginal symptoms.  </w:t>
      </w:r>
    </w:p>
    <w:p w:rsidR="004B47FC" w:rsidRPr="004B47FC" w:rsidRDefault="004B47FC" w:rsidP="004B47FC">
      <w:pPr>
        <w:pStyle w:val="ListParagraph"/>
        <w:numPr>
          <w:ilvl w:val="0"/>
          <w:numId w:val="9"/>
        </w:numPr>
        <w:spacing w:after="0" w:line="360" w:lineRule="auto"/>
        <w:rPr>
          <w:rFonts w:ascii="Arial" w:hAnsi="Arial" w:cs="Arial"/>
          <w:b/>
          <w:bCs/>
        </w:rPr>
      </w:pPr>
      <w:r w:rsidRPr="004B47FC">
        <w:rPr>
          <w:rFonts w:ascii="Arial" w:hAnsi="Arial" w:cs="Arial"/>
          <w:bCs/>
        </w:rPr>
        <w:t xml:space="preserve">Mechanical and chemical irritants should be avoided.  </w:t>
      </w:r>
    </w:p>
    <w:p w:rsidR="004B47FC" w:rsidRPr="004B47FC" w:rsidRDefault="004B47FC" w:rsidP="004B47FC">
      <w:pPr>
        <w:pStyle w:val="ListParagraph"/>
        <w:numPr>
          <w:ilvl w:val="0"/>
          <w:numId w:val="9"/>
        </w:numPr>
        <w:spacing w:after="0" w:line="360" w:lineRule="auto"/>
        <w:rPr>
          <w:rFonts w:ascii="Arial" w:hAnsi="Arial" w:cs="Arial"/>
          <w:b/>
          <w:bCs/>
        </w:rPr>
      </w:pPr>
      <w:r w:rsidRPr="004B47FC">
        <w:rPr>
          <w:rFonts w:ascii="Arial" w:hAnsi="Arial" w:cs="Arial"/>
          <w:bCs/>
        </w:rPr>
        <w:t xml:space="preserve">The genital area is best cleansed with warm water rather than soap or feminine wash products.  The area may be air-dried and patients should be counseled to wipe in a front to back direction. </w:t>
      </w:r>
    </w:p>
    <w:p w:rsidR="004B47FC" w:rsidRPr="004B47FC" w:rsidRDefault="004B47FC" w:rsidP="004B47FC">
      <w:pPr>
        <w:pStyle w:val="ListParagraph"/>
        <w:numPr>
          <w:ilvl w:val="0"/>
          <w:numId w:val="9"/>
        </w:numPr>
        <w:spacing w:after="0" w:line="360" w:lineRule="auto"/>
        <w:rPr>
          <w:rFonts w:ascii="Arial" w:hAnsi="Arial" w:cs="Arial"/>
          <w:b/>
          <w:bCs/>
        </w:rPr>
      </w:pPr>
      <w:r w:rsidRPr="004B47FC">
        <w:rPr>
          <w:rFonts w:ascii="Arial" w:hAnsi="Arial" w:cs="Arial"/>
          <w:bCs/>
        </w:rPr>
        <w:t xml:space="preserve">A small amount of emollients or Lanolin Cream applied to the external genitalia, and not into the vagina, may provide relief from itching and irritation, provided that abnormal discharge (infection) is not also present. </w:t>
      </w:r>
    </w:p>
    <w:p w:rsidR="004B47FC" w:rsidRPr="004B47FC" w:rsidRDefault="004B47FC" w:rsidP="004B47FC">
      <w:pPr>
        <w:pStyle w:val="ListParagraph"/>
        <w:numPr>
          <w:ilvl w:val="0"/>
          <w:numId w:val="9"/>
        </w:numPr>
        <w:spacing w:after="0" w:line="360" w:lineRule="auto"/>
        <w:rPr>
          <w:rFonts w:ascii="Arial" w:hAnsi="Arial" w:cs="Arial"/>
          <w:b/>
          <w:bCs/>
        </w:rPr>
      </w:pPr>
      <w:r w:rsidRPr="004B47FC">
        <w:rPr>
          <w:rFonts w:ascii="Arial" w:hAnsi="Arial" w:cs="Arial"/>
          <w:bCs/>
        </w:rPr>
        <w:t>Replens or other bacteriostatic gels may be used in the vagina for comfort. Replens adheres to the vaginal wall and is intended to have a longer lasting effect than bacteriostatic water-soluble gels.</w:t>
      </w:r>
    </w:p>
    <w:p w:rsidR="004B47FC" w:rsidRPr="004B47FC" w:rsidRDefault="004B47FC" w:rsidP="004B47FC">
      <w:pPr>
        <w:spacing w:after="0" w:line="360" w:lineRule="auto"/>
        <w:rPr>
          <w:rFonts w:ascii="Arial" w:hAnsi="Arial" w:cs="Arial"/>
          <w:bCs/>
        </w:rPr>
      </w:pPr>
    </w:p>
    <w:p w:rsidR="004B47FC" w:rsidRPr="003A00AF" w:rsidRDefault="004B47FC" w:rsidP="004B47FC">
      <w:pPr>
        <w:spacing w:after="0" w:line="360" w:lineRule="auto"/>
        <w:rPr>
          <w:rFonts w:ascii="Arial" w:hAnsi="Arial" w:cs="Arial"/>
          <w:b/>
          <w:bCs/>
        </w:rPr>
      </w:pPr>
      <w:r w:rsidRPr="004B47FC">
        <w:rPr>
          <w:rFonts w:ascii="Arial" w:hAnsi="Arial" w:cs="Arial"/>
          <w:b/>
          <w:bCs/>
        </w:rPr>
        <w:t>Routine surveillance</w:t>
      </w:r>
      <w:r>
        <w:rPr>
          <w:rFonts w:ascii="Arial" w:hAnsi="Arial" w:cs="Arial"/>
          <w:b/>
          <w:bCs/>
        </w:rPr>
        <w:t xml:space="preserve">: </w:t>
      </w:r>
      <w:r w:rsidRPr="004B47FC">
        <w:rPr>
          <w:rFonts w:ascii="Arial" w:hAnsi="Arial" w:cs="Arial"/>
          <w:bCs/>
        </w:rPr>
        <w:t>Recent prospective studies support routine gynecologic evaluations prior to HCT and beginning 100 days post HCT to ensure appropriate patient education about sexual and gynecologic dysfunctions common after HCT as well as early identification and treatment of CGVHD</w:t>
      </w:r>
      <w:hyperlink w:anchor="_ENREF_2" w:tooltip="Spinelli, 2003 #348" w:history="1">
        <w:r w:rsidR="00CB168C" w:rsidRPr="003A00AF">
          <w:rPr>
            <w:rFonts w:ascii="Arial" w:hAnsi="Arial" w:cs="Arial"/>
            <w:bCs/>
          </w:rPr>
          <w:fldChar w:fldCharType="begin">
            <w:fldData xml:space="preserve">PEVuZE5vdGU+PENpdGU+PEF1dGhvcj5TcGluZWxsaTwvQXV0aG9yPjxZZWFyPjIwMDM8L1llYXI+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</w:fldData>
          </w:fldChar>
        </w:r>
        <w:r w:rsidR="00A7130E">
          <w:rPr>
            <w:rFonts w:ascii="Arial" w:hAnsi="Arial" w:cs="Arial"/>
            <w:bCs/>
          </w:rPr>
          <w:instrText xml:space="preserve"> ADDIN EN.CITE </w:instrText>
        </w:r>
        <w:r w:rsidR="00CB168C">
          <w:rPr>
            <w:rFonts w:ascii="Arial" w:hAnsi="Arial" w:cs="Arial"/>
            <w:bCs/>
          </w:rPr>
          <w:fldChar w:fldCharType="begin">
            <w:fldData xml:space="preserve">PEVuZE5vdGU+PENpdGU+PEF1dGhvcj5TcGluZWxsaTwvQXV0aG9yPjxZZWFyPjIwMDM8L1llYXI+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</w:fldData>
          </w:fldChar>
        </w:r>
        <w:r w:rsidR="00A7130E">
          <w:rPr>
            <w:rFonts w:ascii="Arial" w:hAnsi="Arial" w:cs="Arial"/>
            <w:bCs/>
          </w:rPr>
          <w:instrText xml:space="preserve"> ADDIN EN.CITE.DATA </w:instrText>
        </w:r>
        <w:r w:rsidR="00CB168C">
          <w:rPr>
            <w:rFonts w:ascii="Arial" w:hAnsi="Arial" w:cs="Arial"/>
            <w:bCs/>
          </w:rPr>
        </w:r>
        <w:r w:rsidR="00CB168C">
          <w:rPr>
            <w:rFonts w:ascii="Arial" w:hAnsi="Arial" w:cs="Arial"/>
            <w:bCs/>
          </w:rPr>
          <w:fldChar w:fldCharType="end"/>
        </w:r>
        <w:r w:rsidR="00CB168C" w:rsidRPr="003A00AF">
          <w:rPr>
            <w:rFonts w:ascii="Arial" w:hAnsi="Arial" w:cs="Arial"/>
            <w:bCs/>
          </w:rPr>
        </w:r>
        <w:r w:rsidR="00CB168C" w:rsidRPr="003A00AF">
          <w:rPr>
            <w:rFonts w:ascii="Arial" w:hAnsi="Arial" w:cs="Arial"/>
            <w:bCs/>
          </w:rPr>
          <w:fldChar w:fldCharType="separate"/>
        </w:r>
        <w:r w:rsidR="00A7130E" w:rsidRPr="003A00AF">
          <w:rPr>
            <w:rFonts w:ascii="Arial" w:hAnsi="Arial" w:cs="Arial"/>
            <w:bCs/>
            <w:noProof/>
            <w:vertAlign w:val="superscript"/>
          </w:rPr>
          <w:t>2-4</w:t>
        </w:r>
        <w:r w:rsidR="00CB168C" w:rsidRPr="003A00AF">
          <w:rPr>
            <w:rFonts w:ascii="Arial" w:hAnsi="Arial" w:cs="Arial"/>
            <w:bCs/>
          </w:rPr>
          <w:fldChar w:fldCharType="end"/>
        </w:r>
      </w:hyperlink>
      <w:r w:rsidRPr="004B47FC">
        <w:rPr>
          <w:rFonts w:ascii="Arial" w:hAnsi="Arial" w:cs="Arial"/>
          <w:bCs/>
        </w:rPr>
        <w:t>.  Self-examination and use of vaginal dilators within 3 months post-HCT is recommended to ensure maintenance of a patent vaginal canal.  With the use of routine surveillance and early intervention, the late sclerotic features of vulvovaginal GVHD become less likely.</w:t>
      </w:r>
    </w:p>
    <w:p w:rsidR="004B47FC" w:rsidRPr="004B47FC" w:rsidRDefault="004B47FC" w:rsidP="004B47FC">
      <w:pPr>
        <w:spacing w:after="0" w:line="360" w:lineRule="auto"/>
        <w:rPr>
          <w:rFonts w:ascii="Arial" w:hAnsi="Arial" w:cs="Arial"/>
          <w:bCs/>
        </w:rPr>
      </w:pPr>
    </w:p>
    <w:p w:rsidR="004B47FC" w:rsidRPr="009F062A" w:rsidRDefault="009F062A" w:rsidP="00A86347">
      <w:pPr>
        <w:spacing w:after="0" w:line="360" w:lineRule="auto"/>
        <w:rPr>
          <w:rFonts w:ascii="Arial" w:hAnsi="Arial"/>
          <w:bCs/>
        </w:rPr>
      </w:pPr>
      <w:r w:rsidRPr="009F062A">
        <w:rPr>
          <w:rFonts w:ascii="Arial" w:hAnsi="Arial"/>
          <w:b/>
          <w:bCs/>
        </w:rPr>
        <w:t xml:space="preserve">Vulvar and vaginal atrophy: </w:t>
      </w:r>
      <w:r w:rsidRPr="009F062A">
        <w:rPr>
          <w:rFonts w:ascii="Arial" w:hAnsi="Arial"/>
          <w:bCs/>
        </w:rPr>
        <w:t>Vulvar and vaginal atrophy occurs commonly after HCT, either due to ovarian failure that follows cancer therapies or natural menopause. Because estrogen supports the barrier and repair functions of vulvar and vaginal epithelia, estrogen replacement is generally offered whenever there is vaginal mucositis, symptomatic atrophy (e.g. dryness, pain with sexual activity) or signs of vulvar or vaginal GVHD. The decision to prescribe estrogen topically to the vulva, intravaginally, or systemically by oral or transdermal routes, should be made in consultation with a gynecologist or other physician with experience in ovarian hormone therapy. Topical and intravaginally applied estrogen leads to limited systemic exposure which is an advantage for patients in whom systemic hormone replacement is contraindicated or otherwise undesirable.  Systemic estrogen therapy is associated with specific risks.  If systemic estrogen is used in a woman who has a uterus, a progestin needs to be included as additional therapy to prevent endometrial neoplasia.  While there is anecdotal evidence that estrogen replacement (systemic or topical) is an effective adjunctive therapy for vulvar or vaginal GVHD, prospective controlled studies are needed.</w:t>
      </w:r>
    </w:p>
    <w:p w:rsidR="009F062A" w:rsidRPr="009F062A" w:rsidRDefault="009F062A" w:rsidP="00A86347">
      <w:pPr>
        <w:spacing w:after="0" w:line="360" w:lineRule="auto"/>
        <w:rPr>
          <w:rFonts w:ascii="Arial" w:hAnsi="Arial" w:cs="Arial"/>
          <w:b/>
          <w:bCs/>
        </w:rPr>
      </w:pPr>
    </w:p>
    <w:p w:rsidR="009F062A" w:rsidRPr="009F062A" w:rsidRDefault="009F062A" w:rsidP="009F062A">
      <w:pPr>
        <w:rPr>
          <w:rFonts w:ascii="Arial" w:hAnsi="Arial"/>
          <w:b/>
          <w:bCs/>
        </w:rPr>
      </w:pPr>
      <w:r w:rsidRPr="009F062A">
        <w:rPr>
          <w:rFonts w:ascii="Arial" w:hAnsi="Arial"/>
          <w:b/>
          <w:bCs/>
        </w:rPr>
        <w:t>Topical Therapy for Vulvar GVHD:</w:t>
      </w:r>
    </w:p>
    <w:p w:rsidR="009F062A" w:rsidRPr="009F062A" w:rsidRDefault="009F062A" w:rsidP="009F062A">
      <w:pPr>
        <w:rPr>
          <w:rFonts w:ascii="Arial" w:hAnsi="Arial"/>
        </w:rPr>
      </w:pPr>
      <w:r w:rsidRPr="009F062A">
        <w:rPr>
          <w:rFonts w:ascii="Arial" w:hAnsi="Arial"/>
        </w:rPr>
        <w:t>Mild GVHD: Triamcinolone acetonide (0.1-0.5% ointment).  Apply topically twice daily as needed to control symptoms. Gynecological evaluation should be considered at 6-8 weeks intervals.</w:t>
      </w:r>
    </w:p>
    <w:p w:rsidR="009F062A" w:rsidRPr="009F062A" w:rsidRDefault="009F062A" w:rsidP="009F062A">
      <w:pPr>
        <w:rPr>
          <w:rFonts w:ascii="Arial" w:hAnsi="Arial"/>
        </w:rPr>
      </w:pPr>
      <w:r w:rsidRPr="009F062A">
        <w:rPr>
          <w:rFonts w:ascii="Arial" w:hAnsi="Arial"/>
        </w:rPr>
        <w:t>Moderate GVHD: Betamethasone dipropionate (0.05% gel or ointment).  Apply topically to the vulva every 12-24 hours for up to 12 weeks. Gynecological evaluation should be considered at 4-6 week intervals during treatment, or sooner if new or worsening symptoms.</w:t>
      </w:r>
    </w:p>
    <w:p w:rsidR="009F062A" w:rsidRPr="009F062A" w:rsidRDefault="009F062A" w:rsidP="009F062A">
      <w:pPr>
        <w:rPr>
          <w:rFonts w:ascii="Arial" w:hAnsi="Arial"/>
        </w:rPr>
      </w:pPr>
      <w:r w:rsidRPr="009F062A">
        <w:rPr>
          <w:rFonts w:ascii="Arial" w:hAnsi="Arial"/>
        </w:rPr>
        <w:t>Severe GVHD: Clobetasol (0.05% ointment). Apply topically to the vulva twice daily up to 8 weeks. Gynecological evaluation should be considered at 4-6 week intervals during treatment, or sooner if new or worsening symptoms</w:t>
      </w:r>
    </w:p>
    <w:p w:rsidR="009F062A" w:rsidRPr="009F062A" w:rsidRDefault="009F062A" w:rsidP="009F062A">
      <w:pPr>
        <w:rPr>
          <w:rFonts w:ascii="Arial" w:hAnsi="Arial"/>
        </w:rPr>
      </w:pPr>
      <w:r w:rsidRPr="009F062A">
        <w:rPr>
          <w:rFonts w:ascii="Arial" w:hAnsi="Arial"/>
        </w:rPr>
        <w:t>Vulvar GVHD unresponsive to topical corticosteroids: Tacrolimus (0.1% ointment).</w:t>
      </w:r>
      <w:r>
        <w:rPr>
          <w:rFonts w:ascii="Arial" w:hAnsi="Arial"/>
        </w:rPr>
        <w:t xml:space="preserve"> </w:t>
      </w:r>
      <w:r w:rsidRPr="009F062A">
        <w:rPr>
          <w:rFonts w:ascii="Arial" w:hAnsi="Arial"/>
        </w:rPr>
        <w:t>Topical application once or twice daily to severe vulvar lesions under the direction of a gynecologist with experience in managing chronic GVHD or lichen planus.</w:t>
      </w:r>
    </w:p>
    <w:tbl>
      <w:tblPr>
        <w:tblW w:w="9160" w:type="dxa"/>
        <w:tblInd w:w="93" w:type="dxa"/>
        <w:tblLook w:val="04A0" w:firstRow="1" w:lastRow="0" w:firstColumn="1" w:lastColumn="0" w:noHBand="0" w:noVBand="1"/>
      </w:tblPr>
      <w:tblGrid>
        <w:gridCol w:w="8907"/>
        <w:gridCol w:w="253"/>
      </w:tblGrid>
      <w:tr w:rsidR="009F062A" w:rsidRPr="009F062A">
        <w:trPr>
          <w:trHeight w:val="250"/>
        </w:trPr>
        <w:tc>
          <w:tcPr>
            <w:tcW w:w="9160" w:type="dxa"/>
            <w:gridSpan w:val="2"/>
            <w:tcBorders>
              <w:top w:val="nil"/>
              <w:left w:val="nil"/>
              <w:bottom w:val="nil"/>
              <w:right w:val="nil"/>
            </w:tcBorders>
            <w:shd w:val="clear" w:color="auto" w:fill="auto"/>
            <w:noWrap/>
            <w:vAlign w:val="bottom"/>
          </w:tcPr>
          <w:p w:rsidR="009F062A" w:rsidRPr="009F062A" w:rsidRDefault="009F062A" w:rsidP="009F062A">
            <w:pPr>
              <w:ind w:left="-93"/>
              <w:rPr>
                <w:rFonts w:ascii="Arial" w:hAnsi="Arial"/>
                <w:b/>
                <w:bCs/>
              </w:rPr>
            </w:pPr>
            <w:r w:rsidRPr="009F062A">
              <w:rPr>
                <w:rFonts w:ascii="Arial" w:hAnsi="Arial"/>
                <w:b/>
                <w:bCs/>
              </w:rPr>
              <w:t xml:space="preserve">Intravaginal therapy for vaginal GVHD </w:t>
            </w:r>
          </w:p>
        </w:tc>
      </w:tr>
      <w:tr w:rsidR="009F062A" w:rsidRPr="009F062A">
        <w:trPr>
          <w:gridAfter w:val="1"/>
          <w:wAfter w:w="253" w:type="dxa"/>
          <w:trHeight w:val="500"/>
        </w:trPr>
        <w:tc>
          <w:tcPr>
            <w:tcW w:w="8907" w:type="dxa"/>
            <w:tcBorders>
              <w:top w:val="nil"/>
              <w:left w:val="nil"/>
              <w:bottom w:val="nil"/>
              <w:right w:val="nil"/>
            </w:tcBorders>
            <w:shd w:val="clear" w:color="auto" w:fill="auto"/>
          </w:tcPr>
          <w:p w:rsidR="009F062A" w:rsidRPr="009F062A" w:rsidRDefault="009F062A" w:rsidP="009F062A">
            <w:pPr>
              <w:keepNext/>
              <w:keepLines/>
              <w:spacing w:before="200" w:after="0"/>
              <w:ind w:left="-93"/>
              <w:outlineLvl w:val="3"/>
              <w:rPr>
                <w:rFonts w:ascii="Arial" w:hAnsi="Arial"/>
              </w:rPr>
            </w:pPr>
            <w:r w:rsidRPr="009F062A">
              <w:rPr>
                <w:rFonts w:ascii="Arial" w:hAnsi="Arial"/>
              </w:rPr>
              <w:t>Betamethasone dipropionate (0.05% gel or ointment).  Apply 1gm intravaginal (using vaginal estrogen cream calibrated applicator) every 12-24 hours for up to 12 weeks. Gynecological evaluation should be performed at 4-6 week intervals during treatment, or sooner if new or worsening symptoms.</w:t>
            </w:r>
          </w:p>
          <w:p w:rsidR="009F062A" w:rsidRPr="009F062A" w:rsidRDefault="009F062A" w:rsidP="009F062A">
            <w:pPr>
              <w:ind w:left="-93"/>
              <w:rPr>
                <w:rFonts w:ascii="Arial" w:hAnsi="Arial"/>
                <w:bCs/>
              </w:rPr>
            </w:pPr>
            <w:r w:rsidRPr="009F062A">
              <w:rPr>
                <w:rFonts w:ascii="Arial" w:hAnsi="Arial"/>
                <w:bCs/>
              </w:rPr>
              <w:t>Hydrocortisone (10%) in 2% clindamycin base. Apply 5 g with vaginal applicator every other night for 4 weeks.  May repeat course based on response that is evaluated after 4-6 weeks.</w:t>
            </w:r>
          </w:p>
        </w:tc>
      </w:tr>
      <w:tr w:rsidR="009F062A" w:rsidRPr="009F062A">
        <w:trPr>
          <w:gridAfter w:val="1"/>
          <w:wAfter w:w="253" w:type="dxa"/>
          <w:trHeight w:val="500"/>
        </w:trPr>
        <w:tc>
          <w:tcPr>
            <w:tcW w:w="8907" w:type="dxa"/>
            <w:tcBorders>
              <w:top w:val="nil"/>
              <w:left w:val="nil"/>
              <w:bottom w:val="nil"/>
              <w:right w:val="nil"/>
            </w:tcBorders>
            <w:shd w:val="clear" w:color="auto" w:fill="auto"/>
          </w:tcPr>
          <w:p w:rsidR="009F062A" w:rsidRPr="009F062A" w:rsidRDefault="009F062A" w:rsidP="009F062A">
            <w:pPr>
              <w:ind w:left="-93"/>
              <w:rPr>
                <w:rFonts w:ascii="Arial" w:hAnsi="Arial"/>
                <w:bCs/>
              </w:rPr>
            </w:pPr>
            <w:r w:rsidRPr="009F062A">
              <w:rPr>
                <w:rFonts w:ascii="Arial" w:hAnsi="Arial"/>
                <w:bCs/>
              </w:rPr>
              <w:t>Tacrolimus vaginal suppositories 0.1% (2 mg tacrolimus per 2 gram suppository).  May be used nightly for 2 months, evaluate response after 4-6 weeks.</w:t>
            </w:r>
          </w:p>
        </w:tc>
      </w:tr>
    </w:tbl>
    <w:p w:rsidR="009F062A" w:rsidRDefault="009F062A" w:rsidP="00A86347">
      <w:pPr>
        <w:spacing w:after="0" w:line="360" w:lineRule="auto"/>
        <w:rPr>
          <w:rFonts w:ascii="Arial" w:hAnsi="Arial" w:cs="Arial"/>
          <w:b/>
          <w:bCs/>
          <w:sz w:val="24"/>
        </w:rPr>
      </w:pPr>
    </w:p>
    <w:p w:rsidR="009F062A" w:rsidRDefault="009F062A">
      <w:pPr>
        <w:rPr>
          <w:rFonts w:ascii="Arial" w:hAnsi="Arial" w:cs="Arial"/>
          <w:b/>
          <w:bCs/>
          <w:sz w:val="24"/>
        </w:rPr>
      </w:pPr>
      <w:r>
        <w:rPr>
          <w:rFonts w:ascii="Arial" w:hAnsi="Arial" w:cs="Arial"/>
          <w:b/>
          <w:bCs/>
          <w:sz w:val="24"/>
        </w:rPr>
        <w:br w:type="page"/>
      </w:r>
    </w:p>
    <w:p w:rsidR="00017CA9" w:rsidRPr="003B0071" w:rsidRDefault="003B0071" w:rsidP="009F062A">
      <w:pPr>
        <w:spacing w:after="0" w:line="360" w:lineRule="auto"/>
        <w:rPr>
          <w:rFonts w:ascii="Arial" w:hAnsi="Arial" w:cs="Arial"/>
          <w:b/>
          <w:bCs/>
          <w:sz w:val="24"/>
        </w:rPr>
      </w:pPr>
      <w:r w:rsidRPr="003B0071">
        <w:rPr>
          <w:rFonts w:ascii="Arial" w:hAnsi="Arial" w:cs="Arial"/>
          <w:b/>
          <w:bCs/>
          <w:sz w:val="24"/>
        </w:rPr>
        <w:t xml:space="preserve">Supplement 6 - </w:t>
      </w:r>
      <w:r w:rsidR="00017CA9" w:rsidRPr="003B0071">
        <w:rPr>
          <w:rFonts w:ascii="Arial" w:hAnsi="Arial" w:cs="Arial"/>
          <w:b/>
          <w:bCs/>
          <w:sz w:val="24"/>
        </w:rPr>
        <w:t>Dispensary directions for GI and Liver</w:t>
      </w:r>
      <w:r w:rsidR="002E1F76" w:rsidRPr="003B0071">
        <w:rPr>
          <w:rFonts w:ascii="Arial" w:hAnsi="Arial" w:cs="Arial"/>
          <w:b/>
          <w:bCs/>
          <w:sz w:val="24"/>
        </w:rPr>
        <w:t>:</w:t>
      </w:r>
    </w:p>
    <w:p w:rsidR="009F062A" w:rsidRPr="00A7130E" w:rsidRDefault="00631C56" w:rsidP="009F062A">
      <w:pPr>
        <w:spacing w:after="0" w:line="360" w:lineRule="auto"/>
        <w:rPr>
          <w:rFonts w:ascii="Arial" w:hAnsi="Arial" w:cs="Arial"/>
          <w:b/>
          <w:bCs/>
        </w:rPr>
      </w:pPr>
      <w:r>
        <w:rPr>
          <w:rFonts w:ascii="Arial" w:hAnsi="Arial" w:cs="Arial"/>
          <w:b/>
          <w:bCs/>
        </w:rPr>
        <w:t xml:space="preserve">Chronic Diarrhea:  </w:t>
      </w:r>
      <w:r w:rsidR="002E1F76">
        <w:rPr>
          <w:rFonts w:ascii="Arial" w:hAnsi="Arial" w:cs="Arial"/>
          <w:bCs/>
        </w:rPr>
        <w:t>If infectious etiology has been ruled out, judicious use of anti-diarrheal agents may be appropriate.  There have been no studies assessing the safety and efficacy of Probiotics.</w:t>
      </w:r>
    </w:p>
    <w:p w:rsidR="002E1F76" w:rsidRDefault="00253DB3" w:rsidP="009F062A">
      <w:pPr>
        <w:spacing w:after="0" w:line="360" w:lineRule="auto"/>
        <w:rPr>
          <w:rFonts w:ascii="Arial" w:hAnsi="Arial" w:cs="Arial"/>
          <w:bCs/>
        </w:rPr>
      </w:pPr>
      <w:r>
        <w:rPr>
          <w:rFonts w:ascii="Arial" w:hAnsi="Arial" w:cs="Arial"/>
          <w:bCs/>
        </w:rPr>
        <w:t>Lope</w:t>
      </w:r>
      <w:r w:rsidR="002E1F76">
        <w:rPr>
          <w:rFonts w:ascii="Arial" w:hAnsi="Arial" w:cs="Arial"/>
          <w:bCs/>
        </w:rPr>
        <w:t>ramide</w:t>
      </w:r>
      <w:r w:rsidR="00737293">
        <w:rPr>
          <w:rFonts w:ascii="Arial" w:hAnsi="Arial" w:cs="Arial"/>
          <w:bCs/>
        </w:rPr>
        <w:t xml:space="preserve"> (oral tablet or capsule 2 mg; oral solution 1 mg/7.5 ml, 1 mg/5ml)</w:t>
      </w:r>
      <w:r w:rsidR="00A7130E">
        <w:rPr>
          <w:rFonts w:ascii="Arial" w:hAnsi="Arial" w:cs="Arial"/>
          <w:bCs/>
        </w:rPr>
        <w:t>:</w:t>
      </w:r>
      <w:r w:rsidR="002E1F76">
        <w:rPr>
          <w:rFonts w:ascii="Arial" w:hAnsi="Arial" w:cs="Arial"/>
          <w:bCs/>
        </w:rPr>
        <w:t xml:space="preserve"> Adults: 2-4 mg po prn loose stools, max daily dose of 16 mg.  Children:  </w:t>
      </w:r>
      <w:r w:rsidR="002E1F76" w:rsidRPr="002E1F76">
        <w:rPr>
          <w:rFonts w:ascii="Arial" w:hAnsi="Arial" w:cs="Arial"/>
          <w:bCs/>
        </w:rPr>
        <w:t xml:space="preserve">0.08 to 0.24 milligram/kilogram/day in 2 to 3 divided doses </w:t>
      </w:r>
      <w:r w:rsidR="00C767F5">
        <w:rPr>
          <w:rFonts w:ascii="Arial" w:hAnsi="Arial" w:cs="Arial"/>
          <w:bCs/>
        </w:rPr>
        <w:t>can be</w:t>
      </w:r>
      <w:r w:rsidR="002E1F76" w:rsidRPr="002E1F76">
        <w:rPr>
          <w:rFonts w:ascii="Arial" w:hAnsi="Arial" w:cs="Arial"/>
          <w:bCs/>
        </w:rPr>
        <w:t xml:space="preserve"> used</w:t>
      </w:r>
      <w:r w:rsidR="002E1F76">
        <w:rPr>
          <w:rFonts w:ascii="Arial" w:hAnsi="Arial" w:cs="Arial"/>
          <w:bCs/>
        </w:rPr>
        <w:t>.</w:t>
      </w:r>
      <w:r w:rsidR="00A856D7">
        <w:rPr>
          <w:rFonts w:ascii="Arial" w:hAnsi="Arial" w:cs="Arial"/>
          <w:bCs/>
        </w:rPr>
        <w:t xml:space="preserve"> Taking loperamide at regular intervals is often more effective for patients with chronic diarrhea than as needed dosing.</w:t>
      </w:r>
    </w:p>
    <w:p w:rsidR="009F062A" w:rsidRDefault="009F062A" w:rsidP="009F062A">
      <w:pPr>
        <w:spacing w:after="0" w:line="360" w:lineRule="auto"/>
        <w:rPr>
          <w:rFonts w:ascii="Arial" w:hAnsi="Arial" w:cs="Arial"/>
          <w:bCs/>
        </w:rPr>
      </w:pPr>
    </w:p>
    <w:p w:rsidR="009F062A" w:rsidRDefault="009F062A" w:rsidP="009F062A">
      <w:pPr>
        <w:spacing w:after="0" w:line="360" w:lineRule="auto"/>
        <w:rPr>
          <w:rFonts w:ascii="Arial" w:hAnsi="Arial" w:cs="Arial"/>
          <w:bCs/>
        </w:rPr>
      </w:pPr>
      <w:r w:rsidRPr="009F062A">
        <w:rPr>
          <w:rFonts w:ascii="Arial" w:hAnsi="Arial" w:cs="Arial"/>
          <w:bCs/>
        </w:rPr>
        <w:t>Diphenoxylate/Atropine (Lomotil)</w:t>
      </w:r>
      <w:r w:rsidR="00551BBC">
        <w:rPr>
          <w:rFonts w:ascii="Arial" w:hAnsi="Arial" w:cs="Arial"/>
          <w:bCs/>
        </w:rPr>
        <w:t xml:space="preserve"> (based on diphenoxylate component – oral tablet 2.5 mg; oral solution 2.5 mg/5ml)</w:t>
      </w:r>
      <w:r>
        <w:rPr>
          <w:rFonts w:ascii="Arial" w:hAnsi="Arial" w:cs="Arial"/>
          <w:bCs/>
        </w:rPr>
        <w:t>:  Adu</w:t>
      </w:r>
      <w:r w:rsidR="00551BBC">
        <w:rPr>
          <w:rFonts w:ascii="Arial" w:hAnsi="Arial" w:cs="Arial"/>
          <w:bCs/>
        </w:rPr>
        <w:t xml:space="preserve">lts: 2 tabs </w:t>
      </w:r>
      <w:r>
        <w:rPr>
          <w:rFonts w:ascii="Arial" w:hAnsi="Arial" w:cs="Arial"/>
          <w:bCs/>
        </w:rPr>
        <w:t>up to four times daily (20 mg/d of diphenoxylate).  Children (2yr and older):  0.3-0.4 mg/kg/day of diphenoxylate (max 20 mg/d) divided four times per day.</w:t>
      </w:r>
      <w:r w:rsidR="00A856D7">
        <w:rPr>
          <w:rFonts w:ascii="Arial" w:hAnsi="Arial" w:cs="Arial"/>
          <w:bCs/>
        </w:rPr>
        <w:t xml:space="preserve"> Note that atropine in Lomotil tablets may lead to intestinal pseudoobstr</w:t>
      </w:r>
      <w:r w:rsidR="004704E4">
        <w:rPr>
          <w:rFonts w:ascii="Arial" w:hAnsi="Arial" w:cs="Arial"/>
          <w:bCs/>
        </w:rPr>
        <w:t>uction, especially if non-agoni</w:t>
      </w:r>
      <w:r w:rsidR="00A856D7">
        <w:rPr>
          <w:rFonts w:ascii="Arial" w:hAnsi="Arial" w:cs="Arial"/>
          <w:bCs/>
        </w:rPr>
        <w:t>st opioids are given concomitantly.</w:t>
      </w:r>
    </w:p>
    <w:p w:rsidR="00C767F5" w:rsidRDefault="00C767F5" w:rsidP="009F062A">
      <w:pPr>
        <w:spacing w:after="0" w:line="360" w:lineRule="auto"/>
        <w:rPr>
          <w:rFonts w:ascii="Arial" w:hAnsi="Arial" w:cs="Arial"/>
          <w:bCs/>
        </w:rPr>
      </w:pPr>
    </w:p>
    <w:p w:rsidR="009F062A" w:rsidRPr="009F062A" w:rsidRDefault="009F062A" w:rsidP="009F062A">
      <w:pPr>
        <w:spacing w:after="0" w:line="360" w:lineRule="auto"/>
        <w:rPr>
          <w:rFonts w:ascii="Arial" w:hAnsi="Arial" w:cs="Arial"/>
          <w:b/>
          <w:bCs/>
        </w:rPr>
      </w:pPr>
      <w:r>
        <w:rPr>
          <w:rFonts w:ascii="Arial" w:hAnsi="Arial" w:cs="Arial"/>
          <w:b/>
          <w:bCs/>
        </w:rPr>
        <w:t>Irritable Bowel Type Symptoms:</w:t>
      </w:r>
    </w:p>
    <w:p w:rsidR="002E1F76" w:rsidRDefault="002E1F76" w:rsidP="009F062A">
      <w:pPr>
        <w:spacing w:after="0" w:line="360" w:lineRule="auto"/>
        <w:rPr>
          <w:rFonts w:ascii="Arial" w:hAnsi="Arial" w:cs="Arial"/>
          <w:bCs/>
        </w:rPr>
      </w:pPr>
      <w:r>
        <w:rPr>
          <w:rFonts w:ascii="Arial" w:hAnsi="Arial" w:cs="Arial"/>
          <w:bCs/>
        </w:rPr>
        <w:t>No</w:t>
      </w:r>
      <w:r w:rsidR="00253DB3">
        <w:rPr>
          <w:rFonts w:ascii="Arial" w:hAnsi="Arial" w:cs="Arial"/>
          <w:bCs/>
        </w:rPr>
        <w:t>r</w:t>
      </w:r>
      <w:r>
        <w:rPr>
          <w:rFonts w:ascii="Arial" w:hAnsi="Arial" w:cs="Arial"/>
          <w:bCs/>
        </w:rPr>
        <w:t xml:space="preserve">triptyline </w:t>
      </w:r>
      <w:r w:rsidR="00551BBC">
        <w:rPr>
          <w:rFonts w:ascii="Arial" w:hAnsi="Arial" w:cs="Arial"/>
          <w:bCs/>
        </w:rPr>
        <w:t xml:space="preserve">(10, 25, 50, 75 mg tablets; oral solution 10 mg/5ml):  </w:t>
      </w:r>
      <w:r>
        <w:rPr>
          <w:rFonts w:ascii="Arial" w:hAnsi="Arial" w:cs="Arial"/>
          <w:bCs/>
        </w:rPr>
        <w:t>25-125 mg po daily</w:t>
      </w:r>
      <w:r w:rsidR="00C06D2D">
        <w:rPr>
          <w:rFonts w:ascii="Arial" w:hAnsi="Arial" w:cs="Arial"/>
          <w:bCs/>
        </w:rPr>
        <w:t xml:space="preserve"> may be helpful for patient with symptoms similar to irritable bowel syndrome</w:t>
      </w:r>
      <w:r w:rsidR="00A7130E">
        <w:rPr>
          <w:rFonts w:ascii="Arial" w:hAnsi="Arial" w:cs="Arial"/>
          <w:bCs/>
        </w:rPr>
        <w:t>.</w:t>
      </w:r>
      <w:hyperlink w:anchor="_ENREF_5" w:tooltip="Clouse, 2003 #432" w:history="1">
        <w:r w:rsidR="00CB168C">
          <w:rPr>
            <w:rFonts w:ascii="Arial" w:hAnsi="Arial" w:cs="Arial"/>
            <w:bCs/>
          </w:rPr>
          <w:fldChar w:fldCharType="begin"/>
        </w:r>
        <w:r w:rsidR="00A7130E">
          <w:rPr>
            <w:rFonts w:ascii="Arial" w:hAnsi="Arial" w:cs="Arial"/>
            <w:bCs/>
          </w:rPr>
          <w:instrText xml:space="preserve"> ADDIN EN.CITE &lt;EndNote&gt;&lt;Cite&gt;&lt;Author&gt;Clouse&lt;/Author&gt;&lt;Year&gt;2003&lt;/Year&gt;&lt;RecNum&gt;432&lt;/RecNum&gt;&lt;DisplayText&gt;&lt;style face="superscript"&gt;5&lt;/style&gt;&lt;/DisplayText&gt;&lt;record&gt;&lt;rec-number&gt;432&lt;/rec-number&gt;&lt;foreign-keys&gt;&lt;key app="EN" db-id="v02952tzotxvtbetvxf5e9aifef5p5wrwrp2"&gt;432&lt;/key&gt;&lt;/foreign-keys&gt;&lt;ref-type name="Journal Article"&gt;17&lt;/ref-type&gt;&lt;contributors&gt;&lt;authors&gt;&lt;author&gt;Clouse, R. E.&lt;/author&gt;&lt;/authors&gt;&lt;/contributors&gt;&lt;auth-address&gt;Division of Gastroenterology, Department of Medicine, and Department of Psychiatry, Washington University School of Medicine, 660 South Euclid Avenue, Campus Box 8124, St Louis, Missouri 63110, USA. rclouse@im.wustl.edu&lt;/auth-address&gt;&lt;titles&gt;&lt;title&gt;Antidepressants for irritable bowel syndrome&lt;/title&gt;&lt;secondary-title&gt;Gut&lt;/secondary-title&gt;&lt;alt-title&gt;Gut&lt;/alt-title&gt;&lt;/titles&gt;&lt;periodical&gt;&lt;full-title&gt;Gut&lt;/full-title&gt;&lt;abbr-1&gt;Gut&lt;/abbr-1&gt;&lt;/periodical&gt;&lt;alt-periodical&gt;&lt;full-title&gt;Gut&lt;/full-title&gt;&lt;abbr-1&gt;Gut&lt;/abbr-1&gt;&lt;/alt-periodical&gt;&lt;pages&gt;598-9&lt;/pages&gt;&lt;volume&gt;52&lt;/volume&gt;&lt;number&gt;4&lt;/number&gt;&lt;edition&gt;2003/03/13&lt;/edition&gt;&lt;keywords&gt;&lt;keyword&gt;Algorithms&lt;/keyword&gt;&lt;keyword&gt;Antidepressive Agents/*therapeutic use&lt;/keyword&gt;&lt;keyword&gt;Colonic Diseases, Functional/*drug therapy/psychology&lt;/keyword&gt;&lt;keyword&gt;Drug Administration Schedule&lt;/keyword&gt;&lt;keyword&gt;Humans&lt;/keyword&gt;&lt;/keywords&gt;&lt;dates&gt;&lt;year&gt;2003&lt;/year&gt;&lt;pub-dates&gt;&lt;date&gt;Apr&lt;/date&gt;&lt;/pub-dates&gt;&lt;/dates&gt;&lt;isbn&gt;0017-5749 (Print)&amp;#xD;0017-5749 (Linking)&lt;/isbn&gt;&lt;accession-num&gt;12631677&lt;/accession-num&gt;&lt;work-type&gt;Review&lt;/work-type&gt;&lt;urls&gt;&lt;related-urls&gt;&lt;url&gt;http://www.ncbi.nlm.nih.gov/pubmed/12631677&lt;/url&gt;&lt;/related-urls&gt;&lt;/urls&gt;&lt;custom2&gt;1773590&lt;/custom2&gt;&lt;language&gt;eng&lt;/language&gt;&lt;/record&gt;&lt;/Cite&gt;&lt;/EndNote&gt;</w:instrText>
        </w:r>
        <w:r w:rsidR="00CB168C">
          <w:rPr>
            <w:rFonts w:ascii="Arial" w:hAnsi="Arial" w:cs="Arial"/>
            <w:bCs/>
          </w:rPr>
          <w:fldChar w:fldCharType="separate"/>
        </w:r>
        <w:r w:rsidR="00A7130E" w:rsidRPr="00A7130E">
          <w:rPr>
            <w:rFonts w:ascii="Arial" w:hAnsi="Arial" w:cs="Arial"/>
            <w:bCs/>
            <w:noProof/>
            <w:vertAlign w:val="superscript"/>
          </w:rPr>
          <w:t>5</w:t>
        </w:r>
        <w:r w:rsidR="00CB168C">
          <w:rPr>
            <w:rFonts w:ascii="Arial" w:hAnsi="Arial" w:cs="Arial"/>
            <w:bCs/>
          </w:rPr>
          <w:fldChar w:fldCharType="end"/>
        </w:r>
      </w:hyperlink>
      <w:r w:rsidR="00A7130E">
        <w:rPr>
          <w:rFonts w:ascii="Arial" w:hAnsi="Arial" w:cs="Arial"/>
          <w:bCs/>
        </w:rPr>
        <w:t xml:space="preserve"> </w:t>
      </w:r>
      <w:r w:rsidR="00A856D7">
        <w:rPr>
          <w:rFonts w:ascii="Arial" w:hAnsi="Arial" w:cs="Arial"/>
          <w:bCs/>
        </w:rPr>
        <w:t xml:space="preserve"> Anticholinergic effects may lead to pseudo-obstruction.</w:t>
      </w:r>
    </w:p>
    <w:p w:rsidR="00A7130E" w:rsidRDefault="00A7130E" w:rsidP="009F062A">
      <w:pPr>
        <w:spacing w:after="0" w:line="360" w:lineRule="auto"/>
        <w:rPr>
          <w:rFonts w:ascii="Arial" w:hAnsi="Arial" w:cs="Arial"/>
          <w:bCs/>
        </w:rPr>
      </w:pPr>
    </w:p>
    <w:p w:rsidR="00A856D7" w:rsidRDefault="00A7130E" w:rsidP="00A856D7">
      <w:pPr>
        <w:spacing w:after="0" w:line="360" w:lineRule="auto"/>
        <w:rPr>
          <w:rFonts w:ascii="Arial" w:hAnsi="Arial" w:cs="Arial"/>
          <w:bCs/>
        </w:rPr>
      </w:pPr>
      <w:r>
        <w:rPr>
          <w:rFonts w:ascii="Arial" w:hAnsi="Arial" w:cs="Arial"/>
          <w:bCs/>
        </w:rPr>
        <w:t>Dicyclomine</w:t>
      </w:r>
      <w:r w:rsidR="00551BBC">
        <w:rPr>
          <w:rFonts w:ascii="Arial" w:hAnsi="Arial" w:cs="Arial"/>
          <w:bCs/>
        </w:rPr>
        <w:t xml:space="preserve"> (10 mg capsule; 20 mg tablet; oral solution 10 mg/5ml)</w:t>
      </w:r>
      <w:r>
        <w:rPr>
          <w:rFonts w:ascii="Arial" w:hAnsi="Arial" w:cs="Arial"/>
          <w:bCs/>
        </w:rPr>
        <w:t>:  Adults:  20 mg orally four times a day.  Safety and efficacy has not been established in pediatric patients.</w:t>
      </w:r>
      <w:r w:rsidR="00A856D7">
        <w:rPr>
          <w:rFonts w:ascii="Arial" w:hAnsi="Arial" w:cs="Arial"/>
          <w:bCs/>
        </w:rPr>
        <w:t xml:space="preserve"> Anticholinergic effects may lead to pseudo-obstruction.</w:t>
      </w:r>
    </w:p>
    <w:p w:rsidR="00A7130E" w:rsidRDefault="00A7130E" w:rsidP="009F062A">
      <w:pPr>
        <w:spacing w:after="0" w:line="360" w:lineRule="auto"/>
        <w:rPr>
          <w:rFonts w:ascii="Arial" w:hAnsi="Arial" w:cs="Arial"/>
          <w:bCs/>
        </w:rPr>
      </w:pPr>
    </w:p>
    <w:p w:rsidR="00C767F5" w:rsidRPr="00A7130E" w:rsidRDefault="00A7130E" w:rsidP="009F062A">
      <w:pPr>
        <w:spacing w:after="0" w:line="360" w:lineRule="auto"/>
        <w:rPr>
          <w:rFonts w:ascii="Arial" w:hAnsi="Arial" w:cs="Arial"/>
          <w:b/>
          <w:bCs/>
        </w:rPr>
      </w:pPr>
      <w:r>
        <w:rPr>
          <w:rFonts w:ascii="Arial" w:hAnsi="Arial" w:cs="Arial"/>
          <w:b/>
          <w:bCs/>
        </w:rPr>
        <w:t>Malabsorption:</w:t>
      </w:r>
    </w:p>
    <w:p w:rsidR="00631C56" w:rsidRPr="00631C56" w:rsidRDefault="00C06D2D" w:rsidP="009F062A">
      <w:pPr>
        <w:tabs>
          <w:tab w:val="num" w:pos="720"/>
        </w:tabs>
        <w:spacing w:after="0" w:line="360" w:lineRule="auto"/>
        <w:rPr>
          <w:rFonts w:ascii="Arial" w:hAnsi="Arial" w:cs="Arial"/>
          <w:bCs/>
        </w:rPr>
      </w:pPr>
      <w:r>
        <w:rPr>
          <w:rFonts w:ascii="Arial" w:hAnsi="Arial" w:cs="Arial"/>
          <w:bCs/>
        </w:rPr>
        <w:t>Pancreatic enzyme replacement</w:t>
      </w:r>
      <w:r w:rsidR="00631C56">
        <w:rPr>
          <w:rFonts w:ascii="Arial" w:hAnsi="Arial" w:cs="Arial"/>
          <w:bCs/>
        </w:rPr>
        <w:t xml:space="preserve">:  Different formulations are not interchangeable, but in general should be dosed prior to each meal, and ½ dose with snacks.  These may be helpful for patients whose </w:t>
      </w:r>
      <w:r w:rsidR="00A856D7">
        <w:rPr>
          <w:rFonts w:ascii="Arial" w:hAnsi="Arial" w:cs="Arial"/>
          <w:bCs/>
        </w:rPr>
        <w:t xml:space="preserve">fat malabsorption is causing </w:t>
      </w:r>
      <w:r w:rsidR="00631C56">
        <w:rPr>
          <w:rFonts w:ascii="Arial" w:hAnsi="Arial" w:cs="Arial"/>
          <w:bCs/>
        </w:rPr>
        <w:t xml:space="preserve">diarrhea </w:t>
      </w:r>
      <w:r w:rsidR="00A856D7">
        <w:rPr>
          <w:rFonts w:ascii="Arial" w:hAnsi="Arial" w:cs="Arial"/>
          <w:bCs/>
        </w:rPr>
        <w:t>and weight loss</w:t>
      </w:r>
      <w:r w:rsidR="00631C56">
        <w:rPr>
          <w:rFonts w:ascii="Arial" w:hAnsi="Arial" w:cs="Arial"/>
          <w:bCs/>
        </w:rPr>
        <w:t>.  Various brand names include:  Creon®, Zenpep®, Pancreaze®, Ultresa®, Viokace®, Pertzye®.</w:t>
      </w:r>
      <w:r w:rsidR="00A856D7">
        <w:rPr>
          <w:rFonts w:ascii="Arial" w:hAnsi="Arial" w:cs="Arial"/>
          <w:bCs/>
        </w:rPr>
        <w:t xml:space="preserve"> Usually prescribed along with a proton pump inhibitor to avoid inactivation of lipase enzymes in the stomach.</w:t>
      </w:r>
    </w:p>
    <w:p w:rsidR="00C06D2D" w:rsidRPr="002E1F76" w:rsidRDefault="00C06D2D" w:rsidP="009F062A">
      <w:pPr>
        <w:spacing w:after="0" w:line="360" w:lineRule="auto"/>
        <w:rPr>
          <w:rFonts w:ascii="Arial" w:hAnsi="Arial" w:cs="Arial"/>
          <w:bCs/>
        </w:rPr>
      </w:pPr>
    </w:p>
    <w:p w:rsidR="002E1F76" w:rsidRPr="002E1F76" w:rsidRDefault="00631C56" w:rsidP="009F062A">
      <w:pPr>
        <w:spacing w:after="0" w:line="360" w:lineRule="auto"/>
        <w:rPr>
          <w:rFonts w:ascii="Arial" w:hAnsi="Arial" w:cs="Arial"/>
          <w:bCs/>
        </w:rPr>
      </w:pPr>
      <w:r w:rsidRPr="00631C56">
        <w:rPr>
          <w:rFonts w:ascii="Arial" w:hAnsi="Arial" w:cs="Arial"/>
          <w:b/>
          <w:bCs/>
        </w:rPr>
        <w:t>Abnormal liver tests</w:t>
      </w:r>
      <w:r>
        <w:rPr>
          <w:rFonts w:ascii="Arial" w:hAnsi="Arial" w:cs="Arial"/>
          <w:bCs/>
        </w:rPr>
        <w:t>:</w:t>
      </w:r>
    </w:p>
    <w:p w:rsidR="00017CA9" w:rsidRPr="00A86347" w:rsidRDefault="00017CA9" w:rsidP="009F062A">
      <w:pPr>
        <w:spacing w:after="0" w:line="360" w:lineRule="auto"/>
        <w:rPr>
          <w:rFonts w:ascii="Arial" w:hAnsi="Arial" w:cs="Arial"/>
        </w:rPr>
      </w:pPr>
      <w:r w:rsidRPr="00A86347">
        <w:rPr>
          <w:rFonts w:ascii="Arial" w:hAnsi="Arial" w:cs="Arial"/>
        </w:rPr>
        <w:t>Ursodeoxycholic acid (300 mg capsu</w:t>
      </w:r>
      <w:r w:rsidR="009611A3">
        <w:rPr>
          <w:rFonts w:ascii="Arial" w:hAnsi="Arial" w:cs="Arial"/>
        </w:rPr>
        <w:t xml:space="preserve">les, 250 mg tablets or 25 mg/mL </w:t>
      </w:r>
      <w:r w:rsidRPr="00A86347">
        <w:rPr>
          <w:rFonts w:ascii="Arial" w:hAnsi="Arial" w:cs="Arial"/>
        </w:rPr>
        <w:t>suspension compounded by pharmacy.) Adul</w:t>
      </w:r>
      <w:r w:rsidR="009611A3">
        <w:rPr>
          <w:rFonts w:ascii="Arial" w:hAnsi="Arial" w:cs="Arial"/>
        </w:rPr>
        <w:t xml:space="preserve">ts: 250-300 mg orally 3-4 times </w:t>
      </w:r>
      <w:r w:rsidRPr="00A86347">
        <w:rPr>
          <w:rFonts w:ascii="Arial" w:hAnsi="Arial" w:cs="Arial"/>
        </w:rPr>
        <w:t>daily, Chil</w:t>
      </w:r>
      <w:r w:rsidR="009611A3">
        <w:rPr>
          <w:rFonts w:ascii="Arial" w:hAnsi="Arial" w:cs="Arial"/>
        </w:rPr>
        <w:t xml:space="preserve">dren: 10-15 mg/kg daily divided </w:t>
      </w:r>
      <w:r w:rsidRPr="00A86347">
        <w:rPr>
          <w:rFonts w:ascii="Arial" w:hAnsi="Arial" w:cs="Arial"/>
        </w:rPr>
        <w:t>three times a day</w:t>
      </w:r>
      <w:r w:rsidR="00631C56">
        <w:rPr>
          <w:rFonts w:ascii="Arial" w:hAnsi="Arial" w:cs="Arial"/>
        </w:rPr>
        <w:t xml:space="preserve"> or alternatively &lt; 15 kg – 150 mg po daily, 15-29 kg - 300 mg po daily, &gt; 30 kg – 300 mg po BID.</w:t>
      </w:r>
    </w:p>
    <w:p w:rsidR="00FF2E60" w:rsidRDefault="00FF2E60" w:rsidP="009F062A">
      <w:pPr>
        <w:spacing w:after="0" w:line="360" w:lineRule="auto"/>
        <w:rPr>
          <w:rFonts w:ascii="Arial" w:hAnsi="Arial" w:cs="Arial"/>
          <w:b/>
          <w:bCs/>
        </w:rPr>
      </w:pPr>
      <w:r>
        <w:rPr>
          <w:rFonts w:ascii="Arial" w:hAnsi="Arial" w:cs="Arial"/>
          <w:b/>
          <w:bCs/>
        </w:rPr>
        <w:br w:type="page"/>
      </w:r>
    </w:p>
    <w:p w:rsidR="00017CA9" w:rsidRPr="005537B5" w:rsidRDefault="005537B5" w:rsidP="00A86347">
      <w:pPr>
        <w:spacing w:after="0" w:line="360" w:lineRule="auto"/>
        <w:rPr>
          <w:rFonts w:ascii="Arial" w:hAnsi="Arial" w:cs="Arial"/>
          <w:b/>
          <w:bCs/>
          <w:sz w:val="24"/>
        </w:rPr>
      </w:pPr>
      <w:r w:rsidRPr="005537B5">
        <w:rPr>
          <w:rFonts w:ascii="Arial" w:hAnsi="Arial" w:cs="Arial"/>
          <w:b/>
          <w:bCs/>
          <w:sz w:val="24"/>
        </w:rPr>
        <w:t xml:space="preserve">Supplement 7 - </w:t>
      </w:r>
      <w:r w:rsidR="00017CA9" w:rsidRPr="005537B5">
        <w:rPr>
          <w:rFonts w:ascii="Arial" w:hAnsi="Arial" w:cs="Arial"/>
          <w:b/>
          <w:bCs/>
          <w:sz w:val="24"/>
        </w:rPr>
        <w:t>Specific Dispensary Directions for Lung</w:t>
      </w:r>
      <w:r w:rsidR="008149EE" w:rsidRPr="005537B5">
        <w:rPr>
          <w:rFonts w:ascii="Arial" w:hAnsi="Arial" w:cs="Arial"/>
          <w:b/>
          <w:bCs/>
          <w:sz w:val="24"/>
        </w:rPr>
        <w:t>:</w:t>
      </w:r>
    </w:p>
    <w:p w:rsidR="008149EE" w:rsidRDefault="008149EE" w:rsidP="00A86347">
      <w:pPr>
        <w:spacing w:after="0" w:line="360" w:lineRule="auto"/>
        <w:rPr>
          <w:rFonts w:ascii="Arial" w:hAnsi="Arial" w:cs="Arial"/>
          <w:bCs/>
        </w:rPr>
      </w:pPr>
      <w:r w:rsidRPr="008149EE">
        <w:rPr>
          <w:rFonts w:ascii="Arial" w:hAnsi="Arial" w:cs="Arial"/>
          <w:bCs/>
        </w:rPr>
        <w:t>Consideration should be given to adding a spacer for both adult and pediatric patients when an inhaler is being prescribed.</w:t>
      </w:r>
    </w:p>
    <w:p w:rsidR="008149EE" w:rsidRPr="008149EE" w:rsidRDefault="008149EE" w:rsidP="00A86347">
      <w:pPr>
        <w:spacing w:after="0" w:line="360" w:lineRule="auto"/>
        <w:rPr>
          <w:rFonts w:ascii="Arial" w:hAnsi="Arial" w:cs="Arial"/>
          <w:bCs/>
        </w:rPr>
      </w:pPr>
    </w:p>
    <w:p w:rsidR="00017CA9" w:rsidRDefault="00017CA9" w:rsidP="00A86347">
      <w:pPr>
        <w:spacing w:after="0" w:line="360" w:lineRule="auto"/>
        <w:rPr>
          <w:rFonts w:ascii="Arial" w:hAnsi="Arial" w:cs="Arial"/>
        </w:rPr>
      </w:pPr>
      <w:r w:rsidRPr="00A86347">
        <w:rPr>
          <w:rFonts w:ascii="Arial" w:hAnsi="Arial" w:cs="Arial"/>
        </w:rPr>
        <w:t>Albuterol (multiple formulations of inhalation aeros</w:t>
      </w:r>
      <w:r w:rsidR="009611A3">
        <w:rPr>
          <w:rFonts w:ascii="Arial" w:hAnsi="Arial" w:cs="Arial"/>
        </w:rPr>
        <w:t xml:space="preserve">ols and solutions): Adults: 1-2 </w:t>
      </w:r>
      <w:r w:rsidRPr="00A86347">
        <w:rPr>
          <w:rFonts w:ascii="Arial" w:hAnsi="Arial" w:cs="Arial"/>
        </w:rPr>
        <w:t xml:space="preserve">puffs every 4-6 hr as needed or nebulized 2.5 </w:t>
      </w:r>
      <w:r w:rsidR="009611A3">
        <w:rPr>
          <w:rFonts w:ascii="Arial" w:hAnsi="Arial" w:cs="Arial"/>
        </w:rPr>
        <w:t xml:space="preserve">mg 3-4 times daily, Children: 4 </w:t>
      </w:r>
      <w:r w:rsidRPr="00A86347">
        <w:rPr>
          <w:rFonts w:ascii="Arial" w:hAnsi="Arial" w:cs="Arial"/>
        </w:rPr>
        <w:t>yea</w:t>
      </w:r>
      <w:r w:rsidR="009611A3">
        <w:rPr>
          <w:rFonts w:ascii="Arial" w:hAnsi="Arial" w:cs="Arial"/>
        </w:rPr>
        <w:t xml:space="preserve">rs and older, 1-2 puffs every 4 6 hr.  </w:t>
      </w:r>
      <w:r w:rsidRPr="00A86347">
        <w:rPr>
          <w:rFonts w:ascii="Arial" w:hAnsi="Arial" w:cs="Arial"/>
        </w:rPr>
        <w:t>Age 2 to 12 years, nebulized 1.25 or 0.63 mg 3-4 times daily</w:t>
      </w:r>
      <w:r w:rsidR="008149EE">
        <w:rPr>
          <w:rFonts w:ascii="Arial" w:hAnsi="Arial" w:cs="Arial"/>
        </w:rPr>
        <w:t xml:space="preserve">.  </w:t>
      </w:r>
    </w:p>
    <w:p w:rsidR="008149EE" w:rsidRPr="00A86347" w:rsidRDefault="008149EE" w:rsidP="00A86347">
      <w:pPr>
        <w:spacing w:after="0" w:line="360" w:lineRule="auto"/>
        <w:rPr>
          <w:rFonts w:ascii="Arial" w:hAnsi="Arial" w:cs="Arial"/>
        </w:rPr>
      </w:pPr>
    </w:p>
    <w:p w:rsidR="00017CA9" w:rsidRDefault="00017CA9" w:rsidP="00A86347">
      <w:pPr>
        <w:spacing w:after="0" w:line="360" w:lineRule="auto"/>
        <w:rPr>
          <w:rFonts w:ascii="Arial" w:hAnsi="Arial" w:cs="Arial"/>
        </w:rPr>
      </w:pPr>
      <w:r w:rsidRPr="00A86347">
        <w:rPr>
          <w:rFonts w:ascii="Arial" w:hAnsi="Arial" w:cs="Arial"/>
        </w:rPr>
        <w:t>Beclomethasone (multiple formulations of inha</w:t>
      </w:r>
      <w:r w:rsidR="009611A3">
        <w:rPr>
          <w:rFonts w:ascii="Arial" w:hAnsi="Arial" w:cs="Arial"/>
        </w:rPr>
        <w:t xml:space="preserve">lation aerosols and solutions): </w:t>
      </w:r>
      <w:r w:rsidRPr="00A86347">
        <w:rPr>
          <w:rFonts w:ascii="Arial" w:hAnsi="Arial" w:cs="Arial"/>
        </w:rPr>
        <w:t>Adults (12 years and older): Oral inhalation, 2 puff</w:t>
      </w:r>
      <w:r w:rsidR="009611A3">
        <w:rPr>
          <w:rFonts w:ascii="Arial" w:hAnsi="Arial" w:cs="Arial"/>
        </w:rPr>
        <w:t xml:space="preserve">s (42 mcg each) 3-4 times daily </w:t>
      </w:r>
      <w:r w:rsidRPr="00A86347">
        <w:rPr>
          <w:rFonts w:ascii="Arial" w:hAnsi="Arial" w:cs="Arial"/>
        </w:rPr>
        <w:t>or double strength 2 puffs (84 mcg each) tw</w:t>
      </w:r>
      <w:r w:rsidR="008149EE">
        <w:rPr>
          <w:rFonts w:ascii="Arial" w:hAnsi="Arial" w:cs="Arial"/>
        </w:rPr>
        <w:t xml:space="preserve">ice daily; maximum 840 mcg/day.  </w:t>
      </w:r>
      <w:r w:rsidRPr="00A86347">
        <w:rPr>
          <w:rFonts w:ascii="Arial" w:hAnsi="Arial" w:cs="Arial"/>
        </w:rPr>
        <w:t xml:space="preserve">Pediatric: Safety and efficacy not established in </w:t>
      </w:r>
      <w:r w:rsidR="009611A3">
        <w:rPr>
          <w:rFonts w:ascii="Arial" w:hAnsi="Arial" w:cs="Arial"/>
        </w:rPr>
        <w:t xml:space="preserve">children under age 5 or 168 mcg </w:t>
      </w:r>
      <w:r w:rsidRPr="00A86347">
        <w:rPr>
          <w:rFonts w:ascii="Arial" w:hAnsi="Arial" w:cs="Arial"/>
        </w:rPr>
        <w:t>twice daily; maximum 420 mcg/day.</w:t>
      </w:r>
    </w:p>
    <w:p w:rsidR="008149EE" w:rsidRPr="00A86347" w:rsidRDefault="008149EE" w:rsidP="00A86347">
      <w:pPr>
        <w:spacing w:after="0" w:line="360" w:lineRule="auto"/>
        <w:rPr>
          <w:rFonts w:ascii="Arial" w:hAnsi="Arial" w:cs="Arial"/>
        </w:rPr>
      </w:pPr>
    </w:p>
    <w:p w:rsidR="00017CA9" w:rsidRDefault="00017CA9" w:rsidP="00A86347">
      <w:pPr>
        <w:spacing w:after="0" w:line="360" w:lineRule="auto"/>
        <w:rPr>
          <w:rFonts w:ascii="Arial" w:hAnsi="Arial" w:cs="Arial"/>
        </w:rPr>
      </w:pPr>
      <w:r w:rsidRPr="00A86347">
        <w:rPr>
          <w:rFonts w:ascii="Arial" w:hAnsi="Arial" w:cs="Arial"/>
        </w:rPr>
        <w:t>Fluticasone (multiple formulations and combina</w:t>
      </w:r>
      <w:r w:rsidR="009611A3">
        <w:rPr>
          <w:rFonts w:ascii="Arial" w:hAnsi="Arial" w:cs="Arial"/>
        </w:rPr>
        <w:t xml:space="preserve">tions, Flovent® used here as an </w:t>
      </w:r>
      <w:r w:rsidRPr="00A86347">
        <w:rPr>
          <w:rFonts w:ascii="Arial" w:hAnsi="Arial" w:cs="Arial"/>
        </w:rPr>
        <w:t>example): Adults (12 ye</w:t>
      </w:r>
      <w:r w:rsidR="008149EE">
        <w:rPr>
          <w:rFonts w:ascii="Arial" w:hAnsi="Arial" w:cs="Arial"/>
        </w:rPr>
        <w:t xml:space="preserve">ars and older): Oral inhalation, </w:t>
      </w:r>
      <w:r w:rsidR="009611A3">
        <w:rPr>
          <w:rFonts w:ascii="Arial" w:hAnsi="Arial" w:cs="Arial"/>
        </w:rPr>
        <w:t xml:space="preserve">2 </w:t>
      </w:r>
      <w:r w:rsidRPr="00A86347">
        <w:rPr>
          <w:rFonts w:ascii="Arial" w:hAnsi="Arial" w:cs="Arial"/>
        </w:rPr>
        <w:t>puffs (110-220 mcg each) twice daily</w:t>
      </w:r>
      <w:r w:rsidR="008149EE">
        <w:rPr>
          <w:rFonts w:ascii="Arial" w:hAnsi="Arial" w:cs="Arial"/>
        </w:rPr>
        <w:t>.</w:t>
      </w:r>
    </w:p>
    <w:p w:rsidR="008149EE" w:rsidRDefault="008149EE" w:rsidP="00A86347">
      <w:pPr>
        <w:spacing w:after="0" w:line="360" w:lineRule="auto"/>
        <w:rPr>
          <w:rFonts w:ascii="Arial" w:hAnsi="Arial" w:cs="Arial"/>
        </w:rPr>
      </w:pPr>
    </w:p>
    <w:p w:rsidR="008149EE" w:rsidRDefault="008149EE" w:rsidP="00A86347">
      <w:pPr>
        <w:spacing w:after="0" w:line="360" w:lineRule="auto"/>
        <w:rPr>
          <w:rFonts w:ascii="Arial" w:hAnsi="Arial" w:cs="Arial"/>
        </w:rPr>
      </w:pPr>
      <w:r>
        <w:rPr>
          <w:rFonts w:ascii="Arial" w:hAnsi="Arial" w:cs="Arial"/>
        </w:rPr>
        <w:t>There is some evidence that combination therapy with Fluticasone, montelukast and azithromycin may be helpful in stabilizing the manifestations of BOS</w:t>
      </w:r>
      <w:hyperlink w:anchor="_ENREF_6" w:tooltip="Norman, 2011 #326" w:history="1">
        <w:r w:rsidR="00CB168C">
          <w:rPr>
            <w:rFonts w:ascii="Arial" w:hAnsi="Arial" w:cs="Arial"/>
          </w:rPr>
          <w:fldChar w:fldCharType="begin">
            <w:fldData xml:space="preserve">PEVuZE5vdGU+PENpdGU+PEF1dGhvcj5Ob3JtYW48L0F1dGhvcj48WWVhcj4yMDExPC9ZZWFyPjxS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</w:fldData>
          </w:fldChar>
        </w:r>
        <w:r w:rsidR="00A7130E">
          <w:rPr>
            <w:rFonts w:ascii="Arial" w:hAnsi="Arial" w:cs="Arial"/>
          </w:rPr>
          <w:instrText xml:space="preserve"> ADDIN EN.CITE </w:instrText>
        </w:r>
        <w:r w:rsidR="00CB168C">
          <w:rPr>
            <w:rFonts w:ascii="Arial" w:hAnsi="Arial" w:cs="Arial"/>
          </w:rPr>
          <w:fldChar w:fldCharType="begin">
            <w:fldData xml:space="preserve">PEVuZE5vdGU+PENpdGU+PEF1dGhvcj5Ob3JtYW48L0F1dGhvcj48WWVhcj4yMDExPC9ZZWFyPjxS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</w:fldData>
          </w:fldChar>
        </w:r>
        <w:r w:rsidR="00A7130E">
          <w:rPr>
            <w:rFonts w:ascii="Arial" w:hAnsi="Arial" w:cs="Arial"/>
          </w:rPr>
          <w:instrText xml:space="preserve"> ADDIN EN.CITE.DATA </w:instrText>
        </w:r>
        <w:r w:rsidR="00CB168C">
          <w:rPr>
            <w:rFonts w:ascii="Arial" w:hAnsi="Arial" w:cs="Arial"/>
          </w:rPr>
        </w:r>
        <w:r w:rsidR="00CB168C">
          <w:rPr>
            <w:rFonts w:ascii="Arial" w:hAnsi="Arial" w:cs="Arial"/>
          </w:rPr>
          <w:fldChar w:fldCharType="end"/>
        </w:r>
        <w:r w:rsidR="00CB168C">
          <w:rPr>
            <w:rFonts w:ascii="Arial" w:hAnsi="Arial" w:cs="Arial"/>
          </w:rPr>
        </w:r>
        <w:r w:rsidR="00CB168C">
          <w:rPr>
            <w:rFonts w:ascii="Arial" w:hAnsi="Arial" w:cs="Arial"/>
          </w:rPr>
          <w:fldChar w:fldCharType="separate"/>
        </w:r>
        <w:r w:rsidR="00A7130E" w:rsidRPr="00A7130E">
          <w:rPr>
            <w:rFonts w:ascii="Arial" w:hAnsi="Arial" w:cs="Arial"/>
            <w:noProof/>
            <w:vertAlign w:val="superscript"/>
          </w:rPr>
          <w:t>6</w:t>
        </w:r>
        <w:r w:rsidR="00CB168C">
          <w:rPr>
            <w:rFonts w:ascii="Arial" w:hAnsi="Arial" w:cs="Arial"/>
          </w:rPr>
          <w:fldChar w:fldCharType="end"/>
        </w:r>
      </w:hyperlink>
      <w:r>
        <w:rPr>
          <w:rFonts w:ascii="Arial" w:hAnsi="Arial" w:cs="Arial"/>
        </w:rPr>
        <w:t>.</w:t>
      </w:r>
    </w:p>
    <w:p w:rsidR="008149EE" w:rsidRDefault="008149EE" w:rsidP="00A86347">
      <w:pPr>
        <w:spacing w:after="0" w:line="360" w:lineRule="auto"/>
        <w:rPr>
          <w:rFonts w:ascii="Arial" w:hAnsi="Arial" w:cs="Arial"/>
        </w:rPr>
      </w:pPr>
    </w:p>
    <w:p w:rsidR="008149EE" w:rsidRDefault="008149EE" w:rsidP="00A86347">
      <w:pPr>
        <w:spacing w:after="0" w:line="360" w:lineRule="auto"/>
        <w:rPr>
          <w:rFonts w:ascii="Arial" w:hAnsi="Arial" w:cs="Arial"/>
        </w:rPr>
      </w:pPr>
      <w:r>
        <w:rPr>
          <w:rFonts w:ascii="Arial" w:hAnsi="Arial" w:cs="Arial"/>
        </w:rPr>
        <w:t xml:space="preserve">Montelukast:  </w:t>
      </w:r>
      <w:r w:rsidR="00551BBC">
        <w:rPr>
          <w:rFonts w:ascii="Arial" w:hAnsi="Arial" w:cs="Arial"/>
        </w:rPr>
        <w:t xml:space="preserve">(Tablet 10 mg; Chewable tablet 4, 5 mg; Oral packet 4 mg/packet):  </w:t>
      </w:r>
      <w:r>
        <w:rPr>
          <w:rFonts w:ascii="Arial" w:hAnsi="Arial" w:cs="Arial"/>
        </w:rPr>
        <w:t>Adults (15 years and older):  10 mg po daily. Children ages 12 mo to 5 years 4 mg daily (granules or chewable tablets available); children 6-14 years 5 mg po daily (chewable tablets).</w:t>
      </w:r>
    </w:p>
    <w:p w:rsidR="008149EE" w:rsidRDefault="008149EE" w:rsidP="00A86347">
      <w:pPr>
        <w:spacing w:after="0" w:line="360" w:lineRule="auto"/>
        <w:rPr>
          <w:rFonts w:ascii="Arial" w:hAnsi="Arial" w:cs="Arial"/>
        </w:rPr>
      </w:pPr>
    </w:p>
    <w:p w:rsidR="008149EE" w:rsidRPr="00A86347" w:rsidRDefault="008149EE" w:rsidP="00A86347">
      <w:pPr>
        <w:spacing w:after="0" w:line="360" w:lineRule="auto"/>
        <w:rPr>
          <w:rFonts w:ascii="Arial" w:hAnsi="Arial" w:cs="Arial"/>
        </w:rPr>
      </w:pPr>
      <w:r>
        <w:rPr>
          <w:rFonts w:ascii="Arial" w:hAnsi="Arial" w:cs="Arial"/>
        </w:rPr>
        <w:t xml:space="preserve">Azithromycin:  </w:t>
      </w:r>
      <w:r w:rsidR="00551BBC">
        <w:rPr>
          <w:rFonts w:ascii="Arial" w:hAnsi="Arial" w:cs="Arial"/>
        </w:rPr>
        <w:t xml:space="preserve">(Tablet 250 mg; oral suspension 100 mg/5 ml, 200 mg/5 ml):  </w:t>
      </w:r>
      <w:r>
        <w:rPr>
          <w:rFonts w:ascii="Arial" w:hAnsi="Arial" w:cs="Arial"/>
        </w:rPr>
        <w:t>Adults</w:t>
      </w:r>
      <w:r w:rsidR="009421F8">
        <w:rPr>
          <w:rFonts w:ascii="Arial" w:hAnsi="Arial" w:cs="Arial"/>
        </w:rPr>
        <w:t xml:space="preserve"> and children 6 years and older:  250 mg po three times per week</w:t>
      </w:r>
    </w:p>
    <w:p w:rsidR="00017CA9" w:rsidRPr="00A86347" w:rsidRDefault="00017CA9" w:rsidP="00A86347">
      <w:pPr>
        <w:spacing w:after="0" w:line="360" w:lineRule="auto"/>
        <w:rPr>
          <w:rFonts w:ascii="Arial" w:hAnsi="Arial" w:cs="Arial"/>
        </w:rPr>
      </w:pPr>
    </w:p>
    <w:p w:rsidR="00FF2E60" w:rsidRDefault="00FF2E60">
      <w:pPr>
        <w:rPr>
          <w:rFonts w:ascii="Arial" w:hAnsi="Arial" w:cs="Arial"/>
          <w:b/>
          <w:bCs/>
        </w:rPr>
      </w:pPr>
      <w:r>
        <w:rPr>
          <w:rFonts w:ascii="Arial" w:hAnsi="Arial" w:cs="Arial"/>
          <w:b/>
          <w:bCs/>
        </w:rPr>
        <w:br w:type="page"/>
      </w:r>
    </w:p>
    <w:p w:rsidR="00017CA9" w:rsidRPr="005537B5" w:rsidRDefault="005537B5" w:rsidP="00A86347">
      <w:pPr>
        <w:spacing w:after="0" w:line="360" w:lineRule="auto"/>
        <w:rPr>
          <w:rFonts w:ascii="Arial" w:hAnsi="Arial" w:cs="Arial"/>
          <w:b/>
          <w:bCs/>
          <w:sz w:val="24"/>
        </w:rPr>
      </w:pPr>
      <w:r w:rsidRPr="005537B5">
        <w:rPr>
          <w:rFonts w:ascii="Arial" w:hAnsi="Arial" w:cs="Arial"/>
          <w:b/>
          <w:bCs/>
          <w:sz w:val="24"/>
        </w:rPr>
        <w:t xml:space="preserve">Supplement 8 - </w:t>
      </w:r>
      <w:r w:rsidR="00017CA9" w:rsidRPr="005537B5">
        <w:rPr>
          <w:rFonts w:ascii="Arial" w:hAnsi="Arial" w:cs="Arial"/>
          <w:b/>
          <w:bCs/>
          <w:sz w:val="24"/>
        </w:rPr>
        <w:t>Specific Dispensary Directions for Neurologic System</w:t>
      </w:r>
    </w:p>
    <w:p w:rsidR="009421F8" w:rsidRPr="00A86347" w:rsidRDefault="009421F8" w:rsidP="00A86347">
      <w:pPr>
        <w:spacing w:after="0" w:line="360" w:lineRule="auto"/>
        <w:rPr>
          <w:rFonts w:ascii="Arial" w:hAnsi="Arial" w:cs="Arial"/>
          <w:b/>
          <w:bCs/>
        </w:rPr>
      </w:pPr>
      <w:r>
        <w:rPr>
          <w:rFonts w:ascii="Arial" w:hAnsi="Arial" w:cs="Arial"/>
          <w:b/>
          <w:bCs/>
        </w:rPr>
        <w:t>Neuropathy:</w:t>
      </w:r>
    </w:p>
    <w:p w:rsidR="00017CA9" w:rsidRDefault="00017CA9" w:rsidP="00A86347">
      <w:pPr>
        <w:spacing w:after="0" w:line="360" w:lineRule="auto"/>
        <w:rPr>
          <w:rFonts w:ascii="Arial" w:hAnsi="Arial" w:cs="Arial"/>
        </w:rPr>
      </w:pPr>
      <w:r w:rsidRPr="00A86347">
        <w:rPr>
          <w:rFonts w:ascii="Arial" w:hAnsi="Arial" w:cs="Arial"/>
        </w:rPr>
        <w:t>Amitriptyline (</w:t>
      </w:r>
      <w:r w:rsidR="009421F8">
        <w:rPr>
          <w:rFonts w:ascii="Arial" w:hAnsi="Arial" w:cs="Arial"/>
        </w:rPr>
        <w:t xml:space="preserve">Tablets: </w:t>
      </w:r>
      <w:r w:rsidRPr="00A86347">
        <w:rPr>
          <w:rFonts w:ascii="Arial" w:hAnsi="Arial" w:cs="Arial"/>
        </w:rPr>
        <w:t>10,</w:t>
      </w:r>
      <w:r w:rsidR="009421F8">
        <w:rPr>
          <w:rFonts w:ascii="Arial" w:hAnsi="Arial" w:cs="Arial"/>
        </w:rPr>
        <w:t xml:space="preserve"> </w:t>
      </w:r>
      <w:r w:rsidRPr="00A86347">
        <w:rPr>
          <w:rFonts w:ascii="Arial" w:hAnsi="Arial" w:cs="Arial"/>
        </w:rPr>
        <w:t>25,</w:t>
      </w:r>
      <w:r w:rsidR="009421F8">
        <w:rPr>
          <w:rFonts w:ascii="Arial" w:hAnsi="Arial" w:cs="Arial"/>
        </w:rPr>
        <w:t xml:space="preserve"> </w:t>
      </w:r>
      <w:r w:rsidRPr="00A86347">
        <w:rPr>
          <w:rFonts w:ascii="Arial" w:hAnsi="Arial" w:cs="Arial"/>
        </w:rPr>
        <w:t>50,</w:t>
      </w:r>
      <w:r w:rsidR="009421F8">
        <w:rPr>
          <w:rFonts w:ascii="Arial" w:hAnsi="Arial" w:cs="Arial"/>
        </w:rPr>
        <w:t xml:space="preserve"> </w:t>
      </w:r>
      <w:r w:rsidRPr="00A86347">
        <w:rPr>
          <w:rFonts w:ascii="Arial" w:hAnsi="Arial" w:cs="Arial"/>
        </w:rPr>
        <w:t>75,</w:t>
      </w:r>
      <w:r w:rsidR="009421F8">
        <w:rPr>
          <w:rFonts w:ascii="Arial" w:hAnsi="Arial" w:cs="Arial"/>
        </w:rPr>
        <w:t xml:space="preserve"> </w:t>
      </w:r>
      <w:r w:rsidRPr="00A86347">
        <w:rPr>
          <w:rFonts w:ascii="Arial" w:hAnsi="Arial" w:cs="Arial"/>
        </w:rPr>
        <w:t>100,</w:t>
      </w:r>
      <w:r w:rsidR="009421F8">
        <w:rPr>
          <w:rFonts w:ascii="Arial" w:hAnsi="Arial" w:cs="Arial"/>
        </w:rPr>
        <w:t xml:space="preserve"> </w:t>
      </w:r>
      <w:r w:rsidRPr="00A86347">
        <w:rPr>
          <w:rFonts w:ascii="Arial" w:hAnsi="Arial" w:cs="Arial"/>
        </w:rPr>
        <w:t>150 mg) A</w:t>
      </w:r>
      <w:r w:rsidR="009611A3">
        <w:rPr>
          <w:rFonts w:ascii="Arial" w:hAnsi="Arial" w:cs="Arial"/>
        </w:rPr>
        <w:t xml:space="preserve">dults: start at 25 mg orally at </w:t>
      </w:r>
      <w:r w:rsidRPr="00A86347">
        <w:rPr>
          <w:rFonts w:ascii="Arial" w:hAnsi="Arial" w:cs="Arial"/>
        </w:rPr>
        <w:t>bedtime and increase dose by 25mg weekly to effect or maximum of 1</w:t>
      </w:r>
      <w:r w:rsidR="009611A3">
        <w:rPr>
          <w:rFonts w:ascii="Arial" w:hAnsi="Arial" w:cs="Arial"/>
        </w:rPr>
        <w:t xml:space="preserve">50 mg </w:t>
      </w:r>
      <w:r w:rsidRPr="00A86347">
        <w:rPr>
          <w:rFonts w:ascii="Arial" w:hAnsi="Arial" w:cs="Arial"/>
        </w:rPr>
        <w:t>daily.</w:t>
      </w:r>
    </w:p>
    <w:p w:rsidR="009421F8" w:rsidRPr="00A86347" w:rsidRDefault="009421F8" w:rsidP="00A86347">
      <w:pPr>
        <w:spacing w:after="0" w:line="360" w:lineRule="auto"/>
        <w:rPr>
          <w:rFonts w:ascii="Arial" w:hAnsi="Arial" w:cs="Arial"/>
        </w:rPr>
      </w:pPr>
    </w:p>
    <w:p w:rsidR="00017CA9" w:rsidRDefault="00EF21C4" w:rsidP="00A86347">
      <w:pPr>
        <w:spacing w:after="0" w:line="360" w:lineRule="auto"/>
        <w:rPr>
          <w:rFonts w:ascii="Arial" w:hAnsi="Arial" w:cs="Arial"/>
        </w:rPr>
      </w:pPr>
      <w:r>
        <w:rPr>
          <w:rFonts w:ascii="Arial" w:hAnsi="Arial" w:cs="Arial"/>
        </w:rPr>
        <w:t>Paroxetine (</w:t>
      </w:r>
      <w:r w:rsidR="00737293">
        <w:rPr>
          <w:rFonts w:ascii="Arial" w:hAnsi="Arial" w:cs="Arial"/>
        </w:rPr>
        <w:t>Oral Suspension: 10 mg/5 ml</w:t>
      </w:r>
      <w:r w:rsidR="00017CA9" w:rsidRPr="00A86347">
        <w:rPr>
          <w:rFonts w:ascii="Arial" w:hAnsi="Arial" w:cs="Arial"/>
        </w:rPr>
        <w:t>, Or</w:t>
      </w:r>
      <w:r w:rsidR="009611A3">
        <w:rPr>
          <w:rFonts w:ascii="Arial" w:hAnsi="Arial" w:cs="Arial"/>
        </w:rPr>
        <w:t xml:space="preserve">al Tablet: 10, 20, 30, 40 mg): </w:t>
      </w:r>
      <w:r w:rsidR="00017CA9" w:rsidRPr="00A86347">
        <w:rPr>
          <w:rFonts w:ascii="Arial" w:hAnsi="Arial" w:cs="Arial"/>
        </w:rPr>
        <w:t>Adults start at 10 mg orally daily and increa</w:t>
      </w:r>
      <w:r w:rsidR="009611A3">
        <w:rPr>
          <w:rFonts w:ascii="Arial" w:hAnsi="Arial" w:cs="Arial"/>
        </w:rPr>
        <w:t xml:space="preserve">se by 10 mg weekly to effect or </w:t>
      </w:r>
      <w:r w:rsidR="00017CA9" w:rsidRPr="00A86347">
        <w:rPr>
          <w:rFonts w:ascii="Arial" w:hAnsi="Arial" w:cs="Arial"/>
        </w:rPr>
        <w:t>maximum dose of 50 mg daily.</w:t>
      </w:r>
      <w:r>
        <w:rPr>
          <w:rFonts w:ascii="Arial" w:hAnsi="Arial" w:cs="Arial"/>
        </w:rPr>
        <w:t xml:space="preserve">  Safety and efficacy has not been established in children.</w:t>
      </w:r>
    </w:p>
    <w:p w:rsidR="009421F8" w:rsidRPr="00A86347" w:rsidRDefault="009421F8" w:rsidP="00A86347">
      <w:pPr>
        <w:spacing w:after="0" w:line="360" w:lineRule="auto"/>
        <w:rPr>
          <w:rFonts w:ascii="Arial" w:hAnsi="Arial" w:cs="Arial"/>
        </w:rPr>
      </w:pPr>
    </w:p>
    <w:p w:rsidR="00017CA9" w:rsidRDefault="00017CA9" w:rsidP="00A86347">
      <w:pPr>
        <w:spacing w:after="0" w:line="360" w:lineRule="auto"/>
        <w:rPr>
          <w:rFonts w:ascii="Arial" w:hAnsi="Arial" w:cs="Arial"/>
        </w:rPr>
      </w:pPr>
      <w:r w:rsidRPr="00A86347">
        <w:rPr>
          <w:rFonts w:ascii="Arial" w:hAnsi="Arial" w:cs="Arial"/>
        </w:rPr>
        <w:t>Gabapentin (Oral Capsule:</w:t>
      </w:r>
      <w:r w:rsidR="00EF21C4">
        <w:rPr>
          <w:rFonts w:ascii="Arial" w:hAnsi="Arial" w:cs="Arial"/>
        </w:rPr>
        <w:t xml:space="preserve"> </w:t>
      </w:r>
      <w:r w:rsidRPr="00A86347">
        <w:rPr>
          <w:rFonts w:ascii="Arial" w:hAnsi="Arial" w:cs="Arial"/>
        </w:rPr>
        <w:t xml:space="preserve">100, 300, 400 mg, </w:t>
      </w:r>
      <w:r w:rsidR="009611A3">
        <w:rPr>
          <w:rFonts w:ascii="Arial" w:hAnsi="Arial" w:cs="Arial"/>
        </w:rPr>
        <w:t>Oral t</w:t>
      </w:r>
      <w:r w:rsidRPr="00A86347">
        <w:rPr>
          <w:rFonts w:ascii="Arial" w:hAnsi="Arial" w:cs="Arial"/>
        </w:rPr>
        <w:t>ablet: 100, 300, 400, 600, 800 mg</w:t>
      </w:r>
      <w:r w:rsidR="00EF21C4">
        <w:rPr>
          <w:rFonts w:ascii="Arial" w:hAnsi="Arial" w:cs="Arial"/>
        </w:rPr>
        <w:t xml:space="preserve">, </w:t>
      </w:r>
      <w:r w:rsidR="00EF21C4" w:rsidRPr="00EF21C4">
        <w:rPr>
          <w:rFonts w:ascii="Arial" w:hAnsi="Arial" w:cs="Arial"/>
        </w:rPr>
        <w:t>Oral Solution: 25</w:t>
      </w:r>
      <w:r w:rsidR="00EF21C4">
        <w:rPr>
          <w:rFonts w:ascii="Arial" w:hAnsi="Arial" w:cs="Arial"/>
        </w:rPr>
        <w:t>0 mg/5 ml</w:t>
      </w:r>
      <w:r w:rsidRPr="00A86347">
        <w:rPr>
          <w:rFonts w:ascii="Arial" w:hAnsi="Arial" w:cs="Arial"/>
        </w:rPr>
        <w:t>) Adults o</w:t>
      </w:r>
      <w:r w:rsidR="009611A3">
        <w:rPr>
          <w:rFonts w:ascii="Arial" w:hAnsi="Arial" w:cs="Arial"/>
        </w:rPr>
        <w:t>r children &gt; 12 years, initiate t</w:t>
      </w:r>
      <w:r w:rsidRPr="00A86347">
        <w:rPr>
          <w:rFonts w:ascii="Arial" w:hAnsi="Arial" w:cs="Arial"/>
        </w:rPr>
        <w:t>herapy with 300 mg orally daily on day 1 then 3</w:t>
      </w:r>
      <w:r w:rsidR="009611A3">
        <w:rPr>
          <w:rFonts w:ascii="Arial" w:hAnsi="Arial" w:cs="Arial"/>
        </w:rPr>
        <w:t xml:space="preserve">00 mg orally twice a day on day </w:t>
      </w:r>
      <w:r w:rsidRPr="00A86347">
        <w:rPr>
          <w:rFonts w:ascii="Arial" w:hAnsi="Arial" w:cs="Arial"/>
        </w:rPr>
        <w:t>2 and then 300 mg orally 3 times daily on day 3. Then titrate dose up to effect or</w:t>
      </w:r>
      <w:r w:rsidR="009611A3">
        <w:rPr>
          <w:rFonts w:ascii="Arial" w:hAnsi="Arial" w:cs="Arial"/>
        </w:rPr>
        <w:t xml:space="preserve"> </w:t>
      </w:r>
      <w:r w:rsidRPr="00A86347">
        <w:rPr>
          <w:rFonts w:ascii="Arial" w:hAnsi="Arial" w:cs="Arial"/>
        </w:rPr>
        <w:t>maximum daily dose of 3600 mg.</w:t>
      </w:r>
    </w:p>
    <w:p w:rsidR="009421F8" w:rsidRDefault="009421F8" w:rsidP="00A86347">
      <w:pPr>
        <w:spacing w:after="0" w:line="360" w:lineRule="auto"/>
        <w:rPr>
          <w:rFonts w:ascii="Arial" w:hAnsi="Arial" w:cs="Arial"/>
        </w:rPr>
      </w:pPr>
    </w:p>
    <w:p w:rsidR="00C64B23" w:rsidRDefault="009421F8" w:rsidP="00EF21C4">
      <w:pPr>
        <w:spacing w:after="0" w:line="360" w:lineRule="auto"/>
        <w:rPr>
          <w:rFonts w:ascii="Arial" w:hAnsi="Arial" w:cs="Arial"/>
        </w:rPr>
      </w:pPr>
      <w:r w:rsidRPr="00EF21C4">
        <w:rPr>
          <w:rFonts w:ascii="Arial" w:hAnsi="Arial" w:cs="Arial"/>
        </w:rPr>
        <w:t>Pregabalin (</w:t>
      </w:r>
      <w:r w:rsidR="00EF21C4" w:rsidRPr="00EF21C4">
        <w:rPr>
          <w:rFonts w:ascii="Arial" w:hAnsi="Arial" w:cs="Arial"/>
        </w:rPr>
        <w:t xml:space="preserve">Oral Capsule: 25, 50, 75, 100 mg, </w:t>
      </w:r>
      <w:r w:rsidR="00EF21C4">
        <w:rPr>
          <w:rFonts w:ascii="Arial" w:hAnsi="Arial" w:cs="Arial"/>
        </w:rPr>
        <w:t xml:space="preserve">Oral Solution: 20 mg/ml):  </w:t>
      </w:r>
      <w:r w:rsidR="00EF21C4" w:rsidRPr="00EF21C4">
        <w:rPr>
          <w:rFonts w:ascii="Arial" w:hAnsi="Arial" w:cs="Arial"/>
        </w:rPr>
        <w:t xml:space="preserve">50 mg </w:t>
      </w:r>
      <w:r w:rsidR="00EF21C4">
        <w:rPr>
          <w:rFonts w:ascii="Arial" w:hAnsi="Arial" w:cs="Arial"/>
        </w:rPr>
        <w:t>orally</w:t>
      </w:r>
      <w:r w:rsidR="00EF21C4" w:rsidRPr="00EF21C4">
        <w:rPr>
          <w:rFonts w:ascii="Arial" w:hAnsi="Arial" w:cs="Arial"/>
        </w:rPr>
        <w:t xml:space="preserve"> three times a day (150 mg/day) and may be increased to MAX dose 100 mg </w:t>
      </w:r>
      <w:r w:rsidR="00EF21C4">
        <w:rPr>
          <w:rFonts w:ascii="Arial" w:hAnsi="Arial" w:cs="Arial"/>
        </w:rPr>
        <w:t>orally</w:t>
      </w:r>
      <w:r w:rsidR="00EF21C4" w:rsidRPr="00EF21C4">
        <w:rPr>
          <w:rFonts w:ascii="Arial" w:hAnsi="Arial" w:cs="Arial"/>
        </w:rPr>
        <w:t xml:space="preserve"> three times a day (300 mg/day) within 1 week based on efficacy and tolerability</w:t>
      </w:r>
      <w:r w:rsidR="00EF21C4">
        <w:rPr>
          <w:rFonts w:ascii="Arial" w:hAnsi="Arial" w:cs="Arial"/>
        </w:rPr>
        <w:t>.  The safety and efficacy of pregabalin has not been es</w:t>
      </w:r>
      <w:r w:rsidR="00C64B23">
        <w:rPr>
          <w:rFonts w:ascii="Arial" w:hAnsi="Arial" w:cs="Arial"/>
        </w:rPr>
        <w:t>tablished in pediatric patients, but doses of 5-15 mg/kg/day have been used in epilepsy trials</w:t>
      </w:r>
      <w:hyperlink w:anchor="_ENREF_7" w:tooltip="Mann, 2014 #327" w:history="1">
        <w:r w:rsidR="00CB168C">
          <w:rPr>
            <w:rFonts w:ascii="Arial" w:hAnsi="Arial" w:cs="Arial"/>
          </w:rPr>
          <w:fldChar w:fldCharType="begin"/>
        </w:r>
        <w:r w:rsidR="00A7130E">
          <w:rPr>
            <w:rFonts w:ascii="Arial" w:hAnsi="Arial" w:cs="Arial"/>
          </w:rPr>
          <w:instrText xml:space="preserve"> ADDIN EN.CITE &lt;EndNote&gt;&lt;Cite&gt;&lt;Author&gt;Mann&lt;/Author&gt;&lt;Year&gt;2014&lt;/Year&gt;&lt;RecNum&gt;327&lt;/RecNum&gt;&lt;DisplayText&gt;&lt;style face="superscript"&gt;7&lt;/style&gt;&lt;/DisplayText&gt;&lt;record&gt;&lt;rec-number&gt;327&lt;/rec-number&gt;&lt;foreign-keys&gt;&lt;key app="EN" db-id="v02952tzotxvtbetvxf5e9aifef5p5wrwrp2"&gt;327&lt;/key&gt;&lt;/foreign-keys&gt;&lt;ref-type name="Journal Article"&gt;17&lt;/ref-type&gt;&lt;contributors&gt;&lt;authors&gt;&lt;author&gt;Mann, D.&lt;/author&gt;&lt;author&gt;Liu, J.&lt;/author&gt;&lt;author&gt;Chew, M. L.&lt;/author&gt;&lt;author&gt;Bockbrader, H.&lt;/author&gt;&lt;author&gt;Alvey, C. W.&lt;/author&gt;&lt;author&gt;Zegarac, E.&lt;/author&gt;&lt;author&gt;Pellock, J.&lt;/author&gt;&lt;author&gt;Pitman, V. W.&lt;/author&gt;&lt;/authors&gt;&lt;/contributors&gt;&lt;auth-address&gt;Pfizer Inc, Groton, Connecticut, U.S.A.&lt;/auth-address&gt;&lt;titles&gt;&lt;title&gt;Safety, tolerability, and pharmacokinetics of pregabalin in children with refractory partial seizures: a phase 1, randomized controlled study&lt;/title&gt;&lt;secondary-title&gt;Epilepsia&lt;/secondary-title&gt;&lt;alt-title&gt;Epilepsia&lt;/alt-title&gt;&lt;/titles&gt;&lt;periodical&gt;&lt;full-title&gt;Epilepsia&lt;/full-title&gt;&lt;abbr-1&gt;Epilepsia&lt;/abbr-1&gt;&lt;/periodical&gt;&lt;alt-periodical&gt;&lt;full-title&gt;Epilepsia&lt;/full-title&gt;&lt;abbr-1&gt;Epilepsia&lt;/abbr-1&gt;&lt;/alt-periodical&gt;&lt;pages&gt;1934-43&lt;/pages&gt;&lt;volume&gt;55&lt;/volume&gt;&lt;number&gt;12&lt;/number&gt;&lt;edition&gt;2014/11/08&lt;/edition&gt;&lt;dates&gt;&lt;year&gt;2014&lt;/year&gt;&lt;pub-dates&gt;&lt;date&gt;Dec&lt;/date&gt;&lt;/pub-dates&gt;&lt;/dates&gt;&lt;isbn&gt;1528-1167 (Electronic)&amp;#xD;0013-9580 (Linking)&lt;/isbn&gt;&lt;accession-num&gt;25377429&lt;/accession-num&gt;&lt;work-type&gt;Research Support, Non-U.S. Gov&amp;apos;t&lt;/work-type&gt;&lt;urls&gt;&lt;related-urls&gt;&lt;url&gt;http://www.ncbi.nlm.nih.gov/pubmed/25377429&lt;/url&gt;&lt;/related-urls&gt;&lt;/urls&gt;&lt;electronic-resource-num&gt;10.1111/epi.12830&lt;/electronic-resource-num&gt;&lt;language&gt;eng&lt;/language&gt;&lt;/record&gt;&lt;/Cite&gt;&lt;/EndNote&gt;</w:instrText>
        </w:r>
        <w:r w:rsidR="00CB168C">
          <w:rPr>
            <w:rFonts w:ascii="Arial" w:hAnsi="Arial" w:cs="Arial"/>
          </w:rPr>
          <w:fldChar w:fldCharType="separate"/>
        </w:r>
        <w:r w:rsidR="00A7130E" w:rsidRPr="00A7130E">
          <w:rPr>
            <w:rFonts w:ascii="Arial" w:hAnsi="Arial" w:cs="Arial"/>
            <w:noProof/>
            <w:vertAlign w:val="superscript"/>
          </w:rPr>
          <w:t>7</w:t>
        </w:r>
        <w:r w:rsidR="00CB168C">
          <w:rPr>
            <w:rFonts w:ascii="Arial" w:hAnsi="Arial" w:cs="Arial"/>
          </w:rPr>
          <w:fldChar w:fldCharType="end"/>
        </w:r>
      </w:hyperlink>
      <w:r w:rsidR="00C64B23">
        <w:rPr>
          <w:rFonts w:ascii="Arial" w:hAnsi="Arial" w:cs="Arial"/>
        </w:rPr>
        <w:t>.</w:t>
      </w:r>
    </w:p>
    <w:p w:rsidR="00C64B23" w:rsidRDefault="00C64B23" w:rsidP="00EF21C4">
      <w:pPr>
        <w:spacing w:after="0" w:line="360" w:lineRule="auto"/>
        <w:rPr>
          <w:rFonts w:ascii="Arial" w:hAnsi="Arial" w:cs="Arial"/>
        </w:rPr>
      </w:pPr>
    </w:p>
    <w:p w:rsidR="00C64B23" w:rsidRDefault="00C64B23" w:rsidP="00EF21C4">
      <w:pPr>
        <w:spacing w:after="0" w:line="360" w:lineRule="auto"/>
        <w:rPr>
          <w:rFonts w:ascii="Arial" w:hAnsi="Arial" w:cs="Arial"/>
        </w:rPr>
      </w:pPr>
      <w:r w:rsidRPr="00C64B23">
        <w:rPr>
          <w:rFonts w:ascii="Arial" w:hAnsi="Arial" w:cs="Arial"/>
          <w:b/>
        </w:rPr>
        <w:t>Muscle Cramps</w:t>
      </w:r>
      <w:r>
        <w:rPr>
          <w:rFonts w:ascii="Arial" w:hAnsi="Arial" w:cs="Arial"/>
        </w:rPr>
        <w:t>:</w:t>
      </w:r>
    </w:p>
    <w:p w:rsidR="00EF21C4" w:rsidRDefault="00C64B23" w:rsidP="00EF21C4">
      <w:pPr>
        <w:spacing w:after="0" w:line="360" w:lineRule="auto"/>
        <w:rPr>
          <w:rFonts w:ascii="Arial" w:hAnsi="Arial" w:cs="Arial"/>
        </w:rPr>
      </w:pPr>
      <w:r>
        <w:rPr>
          <w:rFonts w:ascii="Arial" w:hAnsi="Arial" w:cs="Arial"/>
        </w:rPr>
        <w:t>Baclofen (Oral Tablet: 10 mg)  Adults 5-10 mg orally three times a day as needed for cramps.  Children 12 years and older 10-15 mg per day in 2-3 divided doses as needed.</w:t>
      </w:r>
    </w:p>
    <w:p w:rsidR="00C64B23" w:rsidRDefault="00C64B23" w:rsidP="00EF21C4">
      <w:pPr>
        <w:spacing w:after="0" w:line="360" w:lineRule="auto"/>
        <w:rPr>
          <w:rFonts w:ascii="Arial" w:hAnsi="Arial" w:cs="Arial"/>
        </w:rPr>
      </w:pPr>
    </w:p>
    <w:p w:rsidR="00C64B23" w:rsidRDefault="00C64B23" w:rsidP="00C64B23">
      <w:pPr>
        <w:spacing w:after="0" w:line="360" w:lineRule="auto"/>
        <w:rPr>
          <w:rFonts w:ascii="Arial" w:hAnsi="Arial" w:cs="Arial"/>
        </w:rPr>
      </w:pPr>
      <w:r>
        <w:rPr>
          <w:rFonts w:ascii="Arial" w:hAnsi="Arial" w:cs="Arial"/>
        </w:rPr>
        <w:t>Clonazepam (Oral Tablet: 0.5</w:t>
      </w:r>
      <w:r w:rsidRPr="00C64B23">
        <w:rPr>
          <w:rFonts w:ascii="Arial" w:hAnsi="Arial" w:cs="Arial"/>
        </w:rPr>
        <w:t>, 1</w:t>
      </w:r>
      <w:r>
        <w:rPr>
          <w:rFonts w:ascii="Arial" w:hAnsi="Arial" w:cs="Arial"/>
        </w:rPr>
        <w:t xml:space="preserve">, 2 mg, </w:t>
      </w:r>
      <w:r w:rsidRPr="00C64B23">
        <w:rPr>
          <w:rFonts w:ascii="Arial" w:hAnsi="Arial" w:cs="Arial"/>
        </w:rPr>
        <w:t>Oral Tablet, Disi</w:t>
      </w:r>
      <w:r>
        <w:rPr>
          <w:rFonts w:ascii="Arial" w:hAnsi="Arial" w:cs="Arial"/>
        </w:rPr>
        <w:t>ntegrating: 0.125, 0.25, 0.5, 1, 2 mg):  0.25 – 1 mg orally at bedtime.</w:t>
      </w:r>
    </w:p>
    <w:p w:rsidR="00A7130E" w:rsidRDefault="00A7130E" w:rsidP="00C64B23">
      <w:pPr>
        <w:spacing w:after="0" w:line="360" w:lineRule="auto"/>
        <w:rPr>
          <w:rFonts w:ascii="Arial" w:hAnsi="Arial" w:cs="Arial"/>
        </w:rPr>
      </w:pPr>
    </w:p>
    <w:p w:rsidR="00A7130E" w:rsidRDefault="00A7130E" w:rsidP="00C64B23">
      <w:pPr>
        <w:spacing w:after="0" w:line="360" w:lineRule="auto"/>
        <w:rPr>
          <w:rFonts w:ascii="Arial" w:hAnsi="Arial" w:cs="Arial"/>
        </w:rPr>
      </w:pPr>
      <w:r>
        <w:rPr>
          <w:rFonts w:ascii="Arial" w:hAnsi="Arial" w:cs="Arial"/>
        </w:rPr>
        <w:t>Diazepam (Oral Tablet: 2, 5, 10 mg; Oral</w:t>
      </w:r>
      <w:r w:rsidR="00737293">
        <w:rPr>
          <w:rFonts w:ascii="Arial" w:hAnsi="Arial" w:cs="Arial"/>
        </w:rPr>
        <w:t xml:space="preserve"> solution 5 mg/5ml, 5 mg/ml):  </w:t>
      </w:r>
      <w:r>
        <w:rPr>
          <w:rFonts w:ascii="Arial" w:hAnsi="Arial" w:cs="Arial"/>
        </w:rPr>
        <w:t xml:space="preserve">Adults 2-10 mg orally at bedtime; Children </w:t>
      </w:r>
      <w:r w:rsidR="00551BBC">
        <w:rPr>
          <w:rFonts w:ascii="Arial" w:hAnsi="Arial" w:cs="Arial"/>
        </w:rPr>
        <w:t>1-2.5 mg orally at bedtime.</w:t>
      </w:r>
    </w:p>
    <w:p w:rsidR="00B54BCE" w:rsidRDefault="00B54BCE" w:rsidP="00C64B23">
      <w:pPr>
        <w:spacing w:after="0" w:line="360" w:lineRule="auto"/>
        <w:rPr>
          <w:rFonts w:ascii="Arial" w:hAnsi="Arial" w:cs="Arial"/>
        </w:rPr>
      </w:pPr>
    </w:p>
    <w:p w:rsidR="00B54BCE" w:rsidRDefault="00B54BCE" w:rsidP="00B54BCE">
      <w:pPr>
        <w:spacing w:after="0" w:line="360" w:lineRule="auto"/>
        <w:rPr>
          <w:rFonts w:ascii="Arial" w:hAnsi="Arial" w:cs="Arial"/>
        </w:rPr>
      </w:pPr>
      <w:r>
        <w:rPr>
          <w:rFonts w:ascii="Arial" w:hAnsi="Arial" w:cs="Arial"/>
        </w:rPr>
        <w:t>Cyclobenzaprine (</w:t>
      </w:r>
      <w:r w:rsidRPr="00B54BCE">
        <w:rPr>
          <w:rFonts w:ascii="Arial" w:hAnsi="Arial" w:cs="Arial"/>
        </w:rPr>
        <w:t xml:space="preserve">Oral </w:t>
      </w:r>
      <w:r>
        <w:rPr>
          <w:rFonts w:ascii="Arial" w:hAnsi="Arial" w:cs="Arial"/>
        </w:rPr>
        <w:t>Capsule, Extended Release: 15, 30 mg, Oral Tablet: 5, 7.5, 10 mg):  Approved for muscle spasms in patients 15 years and older.  Extended release 15 mg oral daily, immediate release 5 mg orally up to three times per day.  Should only be used for 2-3 weeks.</w:t>
      </w:r>
    </w:p>
    <w:p w:rsidR="000C38E0" w:rsidRDefault="000C38E0" w:rsidP="00B54BCE">
      <w:pPr>
        <w:spacing w:after="0" w:line="360" w:lineRule="auto"/>
        <w:rPr>
          <w:rFonts w:ascii="Arial" w:hAnsi="Arial" w:cs="Arial"/>
        </w:rPr>
      </w:pPr>
    </w:p>
    <w:p w:rsidR="000C38E0" w:rsidRDefault="000C38E0" w:rsidP="000C38E0">
      <w:pPr>
        <w:spacing w:after="0" w:line="360" w:lineRule="auto"/>
        <w:rPr>
          <w:rFonts w:ascii="Arial" w:hAnsi="Arial" w:cs="Arial"/>
        </w:rPr>
      </w:pPr>
      <w:r>
        <w:rPr>
          <w:rFonts w:ascii="Arial" w:hAnsi="Arial" w:cs="Arial"/>
        </w:rPr>
        <w:t>Ropinirole (Oral Tablet: 0.25, 0.5, 1, 2, 3, 4, 5 mg):  For patients whose muscle cramps are worst at night.  Initial dose is</w:t>
      </w:r>
      <w:r w:rsidRPr="000C38E0">
        <w:rPr>
          <w:rFonts w:ascii="Arial" w:hAnsi="Arial" w:cs="Arial"/>
        </w:rPr>
        <w:t xml:space="preserve"> 0.25 mg </w:t>
      </w:r>
      <w:r>
        <w:rPr>
          <w:rFonts w:ascii="Arial" w:hAnsi="Arial" w:cs="Arial"/>
        </w:rPr>
        <w:t>orally</w:t>
      </w:r>
      <w:r w:rsidRPr="000C38E0">
        <w:rPr>
          <w:rFonts w:ascii="Arial" w:hAnsi="Arial" w:cs="Arial"/>
        </w:rPr>
        <w:t xml:space="preserve"> 1 to 3 hours prior to bedtime; </w:t>
      </w:r>
      <w:r>
        <w:rPr>
          <w:rFonts w:ascii="Arial" w:hAnsi="Arial" w:cs="Arial"/>
        </w:rPr>
        <w:t>may begin to up titrate after 2 days</w:t>
      </w:r>
      <w:r w:rsidRPr="000C38E0">
        <w:rPr>
          <w:rFonts w:ascii="Arial" w:hAnsi="Arial" w:cs="Arial"/>
        </w:rPr>
        <w:t>: 0.5 mg/day on days 3 to 7; 1 mg/day on week 2; 1.5 mg/day on week 3; 2 mg/day on week 4; 2.5 mg/day on week 5; 3 mg/day on week 6; 4 mg/day on week 7; MAX dose, 4 mg/day</w:t>
      </w:r>
      <w:r>
        <w:rPr>
          <w:rFonts w:ascii="Arial" w:hAnsi="Arial" w:cs="Arial"/>
        </w:rPr>
        <w:t>.</w:t>
      </w:r>
    </w:p>
    <w:p w:rsidR="000C38E0" w:rsidRDefault="000C38E0" w:rsidP="000C38E0">
      <w:pPr>
        <w:spacing w:after="0" w:line="360" w:lineRule="auto"/>
        <w:rPr>
          <w:rFonts w:ascii="Arial" w:hAnsi="Arial" w:cs="Arial"/>
        </w:rPr>
      </w:pPr>
    </w:p>
    <w:p w:rsidR="000C38E0" w:rsidRPr="000C38E0" w:rsidRDefault="000C38E0" w:rsidP="000C38E0">
      <w:pPr>
        <w:spacing w:after="0" w:line="360" w:lineRule="auto"/>
        <w:rPr>
          <w:rFonts w:ascii="Arial" w:hAnsi="Arial" w:cs="Arial"/>
        </w:rPr>
      </w:pPr>
      <w:r>
        <w:rPr>
          <w:rFonts w:ascii="Arial" w:hAnsi="Arial" w:cs="Arial"/>
        </w:rPr>
        <w:t>V</w:t>
      </w:r>
      <w:r w:rsidRPr="000C38E0">
        <w:rPr>
          <w:rFonts w:ascii="Arial" w:hAnsi="Arial" w:cs="Arial"/>
        </w:rPr>
        <w:t>itamin B complex (including fursulthiamine 50 mg, hydroxocobalamin 250 μg, pyridoxal phosphate 30 mg, and riboflavin 5 mg</w:t>
      </w:r>
      <w:r w:rsidR="00B4494C">
        <w:rPr>
          <w:rFonts w:ascii="Arial" w:hAnsi="Arial" w:cs="Arial"/>
        </w:rPr>
        <w:t xml:space="preserve">) can be taken three times per day.  </w:t>
      </w:r>
    </w:p>
    <w:p w:rsidR="000C38E0" w:rsidRPr="000C38E0" w:rsidRDefault="000C38E0" w:rsidP="000C38E0">
      <w:pPr>
        <w:spacing w:after="0" w:line="360" w:lineRule="auto"/>
        <w:rPr>
          <w:rFonts w:ascii="Arial" w:hAnsi="Arial" w:cs="Arial"/>
        </w:rPr>
      </w:pPr>
    </w:p>
    <w:p w:rsidR="000C38E0" w:rsidRPr="00B54BCE" w:rsidRDefault="000C38E0" w:rsidP="00B54BCE">
      <w:pPr>
        <w:spacing w:after="0" w:line="360" w:lineRule="auto"/>
        <w:rPr>
          <w:rFonts w:ascii="Arial" w:hAnsi="Arial" w:cs="Arial"/>
        </w:rPr>
      </w:pPr>
    </w:p>
    <w:p w:rsidR="00B54BCE" w:rsidRPr="00C64B23" w:rsidRDefault="00B54BCE" w:rsidP="00C64B23">
      <w:pPr>
        <w:spacing w:after="0" w:line="360" w:lineRule="auto"/>
        <w:rPr>
          <w:rFonts w:ascii="Arial" w:hAnsi="Arial" w:cs="Arial"/>
        </w:rPr>
      </w:pPr>
    </w:p>
    <w:p w:rsidR="00C64B23" w:rsidRPr="00EF21C4" w:rsidRDefault="00C64B23" w:rsidP="00EF21C4">
      <w:pPr>
        <w:spacing w:after="0" w:line="360" w:lineRule="auto"/>
        <w:rPr>
          <w:rFonts w:ascii="Arial" w:hAnsi="Arial" w:cs="Arial"/>
        </w:rPr>
      </w:pPr>
    </w:p>
    <w:p w:rsidR="009421F8" w:rsidRPr="00A86347" w:rsidRDefault="009421F8" w:rsidP="00A86347">
      <w:pPr>
        <w:spacing w:after="0" w:line="360" w:lineRule="auto"/>
        <w:rPr>
          <w:rFonts w:ascii="Arial" w:hAnsi="Arial" w:cs="Arial"/>
        </w:rPr>
      </w:pPr>
    </w:p>
    <w:p w:rsidR="00FF2E60" w:rsidRDefault="00FF2E60">
      <w:pPr>
        <w:rPr>
          <w:rFonts w:ascii="Arial" w:hAnsi="Arial" w:cs="Arial"/>
          <w:b/>
          <w:bCs/>
        </w:rPr>
      </w:pPr>
      <w:r>
        <w:rPr>
          <w:rFonts w:ascii="Arial" w:hAnsi="Arial" w:cs="Arial"/>
          <w:b/>
          <w:bCs/>
        </w:rPr>
        <w:br w:type="page"/>
      </w:r>
    </w:p>
    <w:p w:rsidR="00017CA9" w:rsidRPr="005537B5" w:rsidRDefault="005537B5" w:rsidP="00A86347">
      <w:pPr>
        <w:spacing w:after="0" w:line="360" w:lineRule="auto"/>
        <w:rPr>
          <w:rFonts w:ascii="Arial" w:hAnsi="Arial" w:cs="Arial"/>
          <w:b/>
          <w:bCs/>
          <w:sz w:val="24"/>
        </w:rPr>
      </w:pPr>
      <w:r w:rsidRPr="005537B5">
        <w:rPr>
          <w:rFonts w:ascii="Arial" w:hAnsi="Arial" w:cs="Arial"/>
          <w:b/>
          <w:bCs/>
          <w:sz w:val="24"/>
        </w:rPr>
        <w:t xml:space="preserve">Supplement 9 - </w:t>
      </w:r>
      <w:r w:rsidR="00017CA9" w:rsidRPr="005537B5">
        <w:rPr>
          <w:rFonts w:ascii="Arial" w:hAnsi="Arial" w:cs="Arial"/>
          <w:b/>
          <w:bCs/>
          <w:sz w:val="24"/>
        </w:rPr>
        <w:t>Specific Dispensary Directions for Infectious Disease</w:t>
      </w:r>
    </w:p>
    <w:p w:rsidR="00017CA9" w:rsidRPr="00A86347" w:rsidRDefault="00017CA9" w:rsidP="00A86347">
      <w:pPr>
        <w:spacing w:after="0" w:line="360" w:lineRule="auto"/>
        <w:rPr>
          <w:rFonts w:ascii="Arial" w:hAnsi="Arial" w:cs="Arial"/>
          <w:b/>
          <w:bCs/>
          <w:i/>
          <w:iCs/>
        </w:rPr>
      </w:pPr>
      <w:r w:rsidRPr="00A86347">
        <w:rPr>
          <w:rFonts w:ascii="Arial" w:hAnsi="Arial" w:cs="Arial"/>
          <w:b/>
          <w:bCs/>
          <w:i/>
          <w:iCs/>
        </w:rPr>
        <w:t>PCP prophylaxis:</w:t>
      </w:r>
    </w:p>
    <w:p w:rsidR="00017CA9" w:rsidRPr="00A86347" w:rsidRDefault="000053BA" w:rsidP="00A86347">
      <w:pPr>
        <w:spacing w:after="0" w:line="360" w:lineRule="auto"/>
        <w:rPr>
          <w:rFonts w:ascii="Arial" w:hAnsi="Arial" w:cs="Arial"/>
        </w:rPr>
      </w:pPr>
      <w:r w:rsidRPr="000053BA">
        <w:rPr>
          <w:rFonts w:ascii="Arial" w:hAnsi="Arial" w:cs="Arial"/>
        </w:rPr>
        <w:t xml:space="preserve">Sulfamethoxazole </w:t>
      </w:r>
      <w:r>
        <w:rPr>
          <w:rFonts w:ascii="Arial" w:hAnsi="Arial" w:cs="Arial"/>
        </w:rPr>
        <w:t>–</w:t>
      </w:r>
      <w:r w:rsidRPr="000053BA">
        <w:rPr>
          <w:rFonts w:ascii="Arial" w:hAnsi="Arial" w:cs="Arial"/>
        </w:rPr>
        <w:t xml:space="preserve"> Trimethoprim</w:t>
      </w:r>
      <w:r>
        <w:rPr>
          <w:rFonts w:ascii="Arial" w:hAnsi="Arial" w:cs="Arial"/>
        </w:rPr>
        <w:t xml:space="preserve"> (400 mg-80 mg, 800 mg-160 mg; </w:t>
      </w:r>
      <w:r w:rsidR="00017CA9" w:rsidRPr="00A86347">
        <w:rPr>
          <w:rFonts w:ascii="Arial" w:hAnsi="Arial" w:cs="Arial"/>
        </w:rPr>
        <w:t>sin</w:t>
      </w:r>
      <w:r>
        <w:rPr>
          <w:rFonts w:ascii="Arial" w:hAnsi="Arial" w:cs="Arial"/>
        </w:rPr>
        <w:t>gle or double strength tablets)</w:t>
      </w:r>
      <w:r w:rsidR="00017CA9" w:rsidRPr="00A86347">
        <w:rPr>
          <w:rFonts w:ascii="Arial" w:hAnsi="Arial" w:cs="Arial"/>
        </w:rPr>
        <w:t>: Adults: a minimum of 6 single</w:t>
      </w:r>
      <w:r w:rsidR="009611A3">
        <w:rPr>
          <w:rFonts w:ascii="Arial" w:hAnsi="Arial" w:cs="Arial"/>
        </w:rPr>
        <w:t xml:space="preserve"> strength </w:t>
      </w:r>
      <w:r w:rsidR="00017CA9" w:rsidRPr="00A86347">
        <w:rPr>
          <w:rFonts w:ascii="Arial" w:hAnsi="Arial" w:cs="Arial"/>
        </w:rPr>
        <w:t>equivalents per week, which can be administered in a variety of way</w:t>
      </w:r>
      <w:r w:rsidR="009611A3">
        <w:rPr>
          <w:rFonts w:ascii="Arial" w:hAnsi="Arial" w:cs="Arial"/>
        </w:rPr>
        <w:t xml:space="preserve">s, </w:t>
      </w:r>
      <w:r w:rsidR="00017CA9" w:rsidRPr="00A86347">
        <w:rPr>
          <w:rFonts w:ascii="Arial" w:hAnsi="Arial" w:cs="Arial"/>
        </w:rPr>
        <w:t>e.g.: one double strength tablet twice daily for 2 days per week, one double</w:t>
      </w:r>
      <w:r w:rsidR="009611A3">
        <w:rPr>
          <w:rFonts w:ascii="Arial" w:hAnsi="Arial" w:cs="Arial"/>
        </w:rPr>
        <w:t xml:space="preserve"> strength </w:t>
      </w:r>
      <w:r w:rsidR="00017CA9" w:rsidRPr="00A86347">
        <w:rPr>
          <w:rFonts w:ascii="Arial" w:hAnsi="Arial" w:cs="Arial"/>
        </w:rPr>
        <w:t>tablet daily three days per week or one s</w:t>
      </w:r>
      <w:r w:rsidR="009611A3">
        <w:rPr>
          <w:rFonts w:ascii="Arial" w:hAnsi="Arial" w:cs="Arial"/>
        </w:rPr>
        <w:t xml:space="preserve">ingle strength tablet every day </w:t>
      </w:r>
      <w:r w:rsidR="00017CA9" w:rsidRPr="00A86347">
        <w:rPr>
          <w:rFonts w:ascii="Arial" w:hAnsi="Arial" w:cs="Arial"/>
        </w:rPr>
        <w:t>of the week.</w:t>
      </w:r>
    </w:p>
    <w:p w:rsidR="00017CA9" w:rsidRPr="00A86347" w:rsidRDefault="000053BA" w:rsidP="00A86347">
      <w:pPr>
        <w:spacing w:after="0" w:line="360" w:lineRule="auto"/>
        <w:rPr>
          <w:rFonts w:ascii="Arial" w:hAnsi="Arial" w:cs="Arial"/>
        </w:rPr>
      </w:pPr>
      <w:r>
        <w:rPr>
          <w:rFonts w:ascii="Arial" w:hAnsi="Arial" w:cs="Arial"/>
        </w:rPr>
        <w:t>Children (Oral suspension 200 mg/5 ml-40 mg/5 ml):</w:t>
      </w:r>
      <w:r w:rsidR="00017CA9" w:rsidRPr="00A86347">
        <w:rPr>
          <w:rFonts w:ascii="Arial" w:hAnsi="Arial" w:cs="Arial"/>
        </w:rPr>
        <w:t xml:space="preserve"> &lt; 20 kg, </w:t>
      </w:r>
      <w:r w:rsidR="009611A3">
        <w:rPr>
          <w:rFonts w:ascii="Arial" w:hAnsi="Arial" w:cs="Arial"/>
        </w:rPr>
        <w:t xml:space="preserve">5 mg/kg/day TMP component in </w:t>
      </w:r>
      <w:r w:rsidR="00017CA9" w:rsidRPr="00A86347">
        <w:rPr>
          <w:rFonts w:ascii="Arial" w:hAnsi="Arial" w:cs="Arial"/>
        </w:rPr>
        <w:t>2 divided doses for two days per week. For child</w:t>
      </w:r>
      <w:r w:rsidR="009611A3">
        <w:rPr>
          <w:rFonts w:ascii="Arial" w:hAnsi="Arial" w:cs="Arial"/>
        </w:rPr>
        <w:t xml:space="preserve">ren 20-40 kg, 1 single-strength </w:t>
      </w:r>
      <w:r w:rsidR="00017CA9" w:rsidRPr="00A86347">
        <w:rPr>
          <w:rFonts w:ascii="Arial" w:hAnsi="Arial" w:cs="Arial"/>
        </w:rPr>
        <w:t>tablet twice daily 2 days per week. For children &gt; 40 kg follow adult dosing.</w:t>
      </w:r>
    </w:p>
    <w:p w:rsidR="009611A3" w:rsidRDefault="009611A3" w:rsidP="00A86347">
      <w:pPr>
        <w:spacing w:after="0" w:line="360" w:lineRule="auto"/>
        <w:rPr>
          <w:rFonts w:ascii="Arial" w:hAnsi="Arial" w:cs="Arial"/>
        </w:rPr>
      </w:pPr>
    </w:p>
    <w:p w:rsidR="00C32197" w:rsidRDefault="00017CA9" w:rsidP="00A86347">
      <w:pPr>
        <w:spacing w:after="0" w:line="360" w:lineRule="auto"/>
        <w:rPr>
          <w:rFonts w:ascii="Arial" w:hAnsi="Arial" w:cs="Arial"/>
        </w:rPr>
      </w:pPr>
      <w:r w:rsidRPr="00A86347">
        <w:rPr>
          <w:rFonts w:ascii="Arial" w:hAnsi="Arial" w:cs="Arial"/>
        </w:rPr>
        <w:t>Dapsone (</w:t>
      </w:r>
      <w:r w:rsidR="000053BA">
        <w:rPr>
          <w:rFonts w:ascii="Arial" w:hAnsi="Arial" w:cs="Arial"/>
        </w:rPr>
        <w:t xml:space="preserve">Oral tablet 25, </w:t>
      </w:r>
      <w:r w:rsidRPr="00A86347">
        <w:rPr>
          <w:rFonts w:ascii="Arial" w:hAnsi="Arial" w:cs="Arial"/>
        </w:rPr>
        <w:t>100 mg): Adults: 50 mg or</w:t>
      </w:r>
      <w:r w:rsidR="009611A3">
        <w:rPr>
          <w:rFonts w:ascii="Arial" w:hAnsi="Arial" w:cs="Arial"/>
        </w:rPr>
        <w:t>ally twice daily</w:t>
      </w:r>
      <w:r w:rsidR="000053BA">
        <w:rPr>
          <w:rFonts w:ascii="Arial" w:hAnsi="Arial" w:cs="Arial"/>
        </w:rPr>
        <w:t xml:space="preserve"> or 100 mg once daily. </w:t>
      </w:r>
      <w:r w:rsidRPr="00A86347">
        <w:rPr>
          <w:rFonts w:ascii="Arial" w:hAnsi="Arial" w:cs="Arial"/>
        </w:rPr>
        <w:t>Children: 1 mg/kg/day orally in 2 divided doses (up to 100 mg/day)</w:t>
      </w:r>
      <w:r w:rsidR="000053BA">
        <w:rPr>
          <w:rFonts w:ascii="Arial" w:hAnsi="Arial" w:cs="Arial"/>
        </w:rPr>
        <w:t xml:space="preserve">.  </w:t>
      </w:r>
    </w:p>
    <w:p w:rsidR="000E2325" w:rsidRDefault="000E2325" w:rsidP="000E2325">
      <w:pPr>
        <w:pStyle w:val="ListParagraph"/>
        <w:numPr>
          <w:ilvl w:val="0"/>
          <w:numId w:val="12"/>
        </w:numPr>
        <w:spacing w:after="0" w:line="360" w:lineRule="auto"/>
        <w:rPr>
          <w:rFonts w:ascii="Arial" w:hAnsi="Arial" w:cs="Arial"/>
        </w:rPr>
      </w:pPr>
      <w:r>
        <w:rPr>
          <w:rFonts w:ascii="Arial" w:hAnsi="Arial" w:cs="Arial"/>
        </w:rPr>
        <w:t>G6PD screening should be performed for African Americans, Indians and those of Mediterranean decent.</w:t>
      </w:r>
    </w:p>
    <w:p w:rsidR="000E2325" w:rsidRDefault="000E2325" w:rsidP="00A86347">
      <w:pPr>
        <w:pStyle w:val="ListParagraph"/>
        <w:numPr>
          <w:ilvl w:val="0"/>
          <w:numId w:val="12"/>
        </w:numPr>
        <w:spacing w:after="0" w:line="360" w:lineRule="auto"/>
        <w:rPr>
          <w:rFonts w:ascii="Arial" w:hAnsi="Arial" w:cs="Arial"/>
        </w:rPr>
      </w:pPr>
      <w:r>
        <w:rPr>
          <w:rFonts w:ascii="Arial" w:hAnsi="Arial" w:cs="Arial"/>
        </w:rPr>
        <w:t>Contraindicated in patients allergic to sulfa</w:t>
      </w:r>
    </w:p>
    <w:p w:rsidR="00017CA9" w:rsidRPr="000E2325" w:rsidRDefault="000053BA" w:rsidP="00A86347">
      <w:pPr>
        <w:pStyle w:val="ListParagraph"/>
        <w:numPr>
          <w:ilvl w:val="0"/>
          <w:numId w:val="12"/>
        </w:numPr>
        <w:spacing w:after="0" w:line="360" w:lineRule="auto"/>
        <w:rPr>
          <w:rFonts w:ascii="Arial" w:hAnsi="Arial" w:cs="Arial"/>
        </w:rPr>
      </w:pPr>
      <w:r w:rsidRPr="000E2325">
        <w:rPr>
          <w:rFonts w:ascii="Arial" w:hAnsi="Arial" w:cs="Arial"/>
        </w:rPr>
        <w:t xml:space="preserve">Monitor for </w:t>
      </w:r>
      <w:r w:rsidR="00C32197" w:rsidRPr="000E2325">
        <w:rPr>
          <w:rFonts w:ascii="Arial" w:hAnsi="Arial" w:cs="Arial"/>
        </w:rPr>
        <w:t>the development</w:t>
      </w:r>
      <w:r w:rsidRPr="000E2325">
        <w:rPr>
          <w:rFonts w:ascii="Arial" w:hAnsi="Arial" w:cs="Arial"/>
        </w:rPr>
        <w:t xml:space="preserve"> of </w:t>
      </w:r>
      <w:r w:rsidR="00C32197" w:rsidRPr="000E2325">
        <w:rPr>
          <w:rFonts w:ascii="Arial" w:hAnsi="Arial" w:cs="Arial"/>
        </w:rPr>
        <w:t>methemoglobinemia (periodic pulse oximetry)</w:t>
      </w:r>
    </w:p>
    <w:p w:rsidR="009611A3" w:rsidRDefault="009611A3" w:rsidP="00A86347">
      <w:pPr>
        <w:spacing w:after="0" w:line="360" w:lineRule="auto"/>
        <w:rPr>
          <w:rFonts w:ascii="Arial" w:hAnsi="Arial" w:cs="Arial"/>
        </w:rPr>
      </w:pPr>
    </w:p>
    <w:p w:rsidR="00017CA9" w:rsidRPr="00A86347" w:rsidRDefault="00017CA9" w:rsidP="00A86347">
      <w:pPr>
        <w:spacing w:after="0" w:line="360" w:lineRule="auto"/>
        <w:rPr>
          <w:rFonts w:ascii="Arial" w:hAnsi="Arial" w:cs="Arial"/>
        </w:rPr>
      </w:pPr>
      <w:r w:rsidRPr="00A86347">
        <w:rPr>
          <w:rFonts w:ascii="Arial" w:hAnsi="Arial" w:cs="Arial"/>
        </w:rPr>
        <w:t>Pentamidine (300 mg inhalation powder for sol</w:t>
      </w:r>
      <w:r w:rsidR="009611A3">
        <w:rPr>
          <w:rFonts w:ascii="Arial" w:hAnsi="Arial" w:cs="Arial"/>
        </w:rPr>
        <w:t xml:space="preserve">ution): Adults and children &gt; 5 </w:t>
      </w:r>
      <w:r w:rsidRPr="00A86347">
        <w:rPr>
          <w:rFonts w:ascii="Arial" w:hAnsi="Arial" w:cs="Arial"/>
        </w:rPr>
        <w:t>years: 300 mg inhaled every 4 weeks.</w:t>
      </w:r>
      <w:r w:rsidR="00C32197">
        <w:rPr>
          <w:rFonts w:ascii="Arial" w:hAnsi="Arial" w:cs="Arial"/>
        </w:rPr>
        <w:t xml:space="preserve">  May also be given IV 4 mg/kg every 14-21 days.</w:t>
      </w:r>
    </w:p>
    <w:p w:rsidR="009611A3" w:rsidRDefault="009611A3" w:rsidP="00A86347">
      <w:pPr>
        <w:spacing w:after="0" w:line="360" w:lineRule="auto"/>
        <w:rPr>
          <w:rFonts w:ascii="Arial" w:hAnsi="Arial" w:cs="Arial"/>
        </w:rPr>
      </w:pPr>
    </w:p>
    <w:p w:rsidR="00017CA9" w:rsidRPr="00A86347" w:rsidRDefault="00017CA9" w:rsidP="00A86347">
      <w:pPr>
        <w:spacing w:after="0" w:line="360" w:lineRule="auto"/>
        <w:rPr>
          <w:rFonts w:ascii="Arial" w:hAnsi="Arial" w:cs="Arial"/>
        </w:rPr>
      </w:pPr>
      <w:r w:rsidRPr="00A86347">
        <w:rPr>
          <w:rFonts w:ascii="Arial" w:hAnsi="Arial" w:cs="Arial"/>
        </w:rPr>
        <w:t>Atovaquo</w:t>
      </w:r>
      <w:r w:rsidR="00C32197">
        <w:rPr>
          <w:rFonts w:ascii="Arial" w:hAnsi="Arial" w:cs="Arial"/>
        </w:rPr>
        <w:t>ne (Oral Suspension: 750 mg/5 ml</w:t>
      </w:r>
      <w:r w:rsidR="009611A3">
        <w:rPr>
          <w:rFonts w:ascii="Arial" w:hAnsi="Arial" w:cs="Arial"/>
        </w:rPr>
        <w:t xml:space="preserve">): Adults and </w:t>
      </w:r>
      <w:r w:rsidRPr="00A86347">
        <w:rPr>
          <w:rFonts w:ascii="Arial" w:hAnsi="Arial" w:cs="Arial"/>
        </w:rPr>
        <w:t xml:space="preserve">children &gt; 13 years: 1500 mg </w:t>
      </w:r>
      <w:r w:rsidR="00C32197">
        <w:rPr>
          <w:rFonts w:ascii="Arial" w:hAnsi="Arial" w:cs="Arial"/>
        </w:rPr>
        <w:t xml:space="preserve">orally </w:t>
      </w:r>
      <w:r w:rsidRPr="00A86347">
        <w:rPr>
          <w:rFonts w:ascii="Arial" w:hAnsi="Arial" w:cs="Arial"/>
        </w:rPr>
        <w:t>daily</w:t>
      </w:r>
      <w:r w:rsidR="00C32197">
        <w:rPr>
          <w:rFonts w:ascii="Arial" w:hAnsi="Arial" w:cs="Arial"/>
        </w:rPr>
        <w:t xml:space="preserve"> with a meal</w:t>
      </w:r>
      <w:r w:rsidRPr="00A86347">
        <w:rPr>
          <w:rFonts w:ascii="Arial" w:hAnsi="Arial" w:cs="Arial"/>
        </w:rPr>
        <w:t>.</w:t>
      </w:r>
      <w:r w:rsidR="000E2325">
        <w:rPr>
          <w:rFonts w:ascii="Arial" w:hAnsi="Arial" w:cs="Arial"/>
        </w:rPr>
        <w:t xml:space="preserve"> Children 1-3 mo and &gt; 24 months 30 mg/kg/</w:t>
      </w:r>
      <w:r w:rsidR="009B5300">
        <w:rPr>
          <w:rFonts w:ascii="Arial" w:hAnsi="Arial" w:cs="Arial"/>
        </w:rPr>
        <w:t>day</w:t>
      </w:r>
      <w:r w:rsidR="000E2325">
        <w:rPr>
          <w:rFonts w:ascii="Arial" w:hAnsi="Arial" w:cs="Arial"/>
        </w:rPr>
        <w:t>, 4-24 mo 45 mg/kg/day.</w:t>
      </w:r>
    </w:p>
    <w:p w:rsidR="009611A3" w:rsidRDefault="009611A3" w:rsidP="00A86347">
      <w:pPr>
        <w:spacing w:after="0" w:line="360" w:lineRule="auto"/>
        <w:rPr>
          <w:rFonts w:ascii="Arial" w:hAnsi="Arial" w:cs="Arial"/>
          <w:b/>
          <w:bCs/>
          <w:i/>
          <w:iCs/>
        </w:rPr>
      </w:pPr>
    </w:p>
    <w:p w:rsidR="00017CA9" w:rsidRPr="00A86347" w:rsidRDefault="00017CA9" w:rsidP="00A86347">
      <w:pPr>
        <w:spacing w:after="0" w:line="360" w:lineRule="auto"/>
        <w:rPr>
          <w:rFonts w:ascii="Arial" w:hAnsi="Arial" w:cs="Arial"/>
          <w:b/>
          <w:bCs/>
          <w:i/>
          <w:iCs/>
        </w:rPr>
      </w:pPr>
      <w:r w:rsidRPr="00A86347">
        <w:rPr>
          <w:rFonts w:ascii="Arial" w:hAnsi="Arial" w:cs="Arial"/>
          <w:b/>
          <w:bCs/>
          <w:i/>
          <w:iCs/>
        </w:rPr>
        <w:t>Encapsulated Organism prophylaxis:</w:t>
      </w:r>
    </w:p>
    <w:p w:rsidR="00017CA9" w:rsidRPr="00A86347" w:rsidRDefault="00017CA9" w:rsidP="00A86347">
      <w:pPr>
        <w:spacing w:after="0" w:line="360" w:lineRule="auto"/>
        <w:rPr>
          <w:rFonts w:ascii="Arial" w:hAnsi="Arial" w:cs="Arial"/>
        </w:rPr>
      </w:pPr>
      <w:r w:rsidRPr="00A86347">
        <w:rPr>
          <w:rFonts w:ascii="Arial" w:hAnsi="Arial" w:cs="Arial"/>
        </w:rPr>
        <w:t>TMP/SMX</w:t>
      </w:r>
      <w:r w:rsidR="009611A3">
        <w:rPr>
          <w:rFonts w:ascii="Arial" w:hAnsi="Arial" w:cs="Arial"/>
        </w:rPr>
        <w:t xml:space="preserve"> (use based on local antibiotic sensitivities)</w:t>
      </w:r>
      <w:r w:rsidRPr="00A86347">
        <w:rPr>
          <w:rFonts w:ascii="Arial" w:hAnsi="Arial" w:cs="Arial"/>
        </w:rPr>
        <w:t>: The following regimen c</w:t>
      </w:r>
      <w:r w:rsidR="009611A3">
        <w:rPr>
          <w:rFonts w:ascii="Arial" w:hAnsi="Arial" w:cs="Arial"/>
        </w:rPr>
        <w:t xml:space="preserve">overs both PCP and encapsulated </w:t>
      </w:r>
      <w:r w:rsidRPr="00A86347">
        <w:rPr>
          <w:rFonts w:ascii="Arial" w:hAnsi="Arial" w:cs="Arial"/>
        </w:rPr>
        <w:t>organisms.</w:t>
      </w:r>
    </w:p>
    <w:p w:rsidR="00017CA9" w:rsidRPr="00A86347" w:rsidRDefault="00017CA9" w:rsidP="00A86347">
      <w:pPr>
        <w:spacing w:after="0" w:line="360" w:lineRule="auto"/>
        <w:rPr>
          <w:rFonts w:ascii="Arial" w:hAnsi="Arial" w:cs="Arial"/>
        </w:rPr>
      </w:pPr>
      <w:r w:rsidRPr="00A86347">
        <w:rPr>
          <w:rFonts w:ascii="Arial" w:hAnsi="Arial" w:cs="Arial"/>
        </w:rPr>
        <w:t>Adults: 1 double strength tablet orally daily.</w:t>
      </w:r>
    </w:p>
    <w:p w:rsidR="00017CA9" w:rsidRPr="00A86347" w:rsidRDefault="00017CA9" w:rsidP="00A86347">
      <w:pPr>
        <w:spacing w:after="0" w:line="360" w:lineRule="auto"/>
        <w:rPr>
          <w:rFonts w:ascii="Arial" w:hAnsi="Arial" w:cs="Arial"/>
        </w:rPr>
      </w:pPr>
      <w:r w:rsidRPr="00A86347">
        <w:rPr>
          <w:rFonts w:ascii="Arial" w:hAnsi="Arial" w:cs="Arial"/>
        </w:rPr>
        <w:t xml:space="preserve">Children: &lt; 20 kg, </w:t>
      </w:r>
      <w:r w:rsidR="009611A3">
        <w:rPr>
          <w:rFonts w:ascii="Arial" w:hAnsi="Arial" w:cs="Arial"/>
        </w:rPr>
        <w:t xml:space="preserve">2.5 mg/kg/day TMP component </w:t>
      </w:r>
      <w:r w:rsidR="00C32197">
        <w:rPr>
          <w:rFonts w:ascii="Arial" w:hAnsi="Arial" w:cs="Arial"/>
        </w:rPr>
        <w:t xml:space="preserve">once a day, </w:t>
      </w:r>
      <w:r w:rsidRPr="00A86347">
        <w:rPr>
          <w:rFonts w:ascii="Arial" w:hAnsi="Arial" w:cs="Arial"/>
        </w:rPr>
        <w:t>&gt; 20 kg, 1 single-strength tablet orally daily.</w:t>
      </w:r>
      <w:r w:rsidR="00C32197">
        <w:rPr>
          <w:rFonts w:ascii="Arial" w:hAnsi="Arial" w:cs="Arial"/>
        </w:rPr>
        <w:t xml:space="preserve">  Patients &gt; 40 kg, follow adult dosing.</w:t>
      </w:r>
    </w:p>
    <w:p w:rsidR="009611A3" w:rsidRDefault="009611A3" w:rsidP="00A86347">
      <w:pPr>
        <w:spacing w:after="0" w:line="360" w:lineRule="auto"/>
        <w:rPr>
          <w:rFonts w:ascii="Arial" w:hAnsi="Arial" w:cs="Arial"/>
        </w:rPr>
      </w:pPr>
    </w:p>
    <w:p w:rsidR="00C32197" w:rsidRDefault="00C32197" w:rsidP="00A86347">
      <w:pPr>
        <w:spacing w:after="0" w:line="360" w:lineRule="auto"/>
        <w:rPr>
          <w:rFonts w:ascii="Arial" w:hAnsi="Arial" w:cs="Arial"/>
        </w:rPr>
      </w:pPr>
      <w:r>
        <w:rPr>
          <w:rFonts w:ascii="Arial" w:hAnsi="Arial" w:cs="Arial"/>
        </w:rPr>
        <w:t>If local antibiotic sensitivities do not support the use of TMP/SMX for encapsulated organisms:</w:t>
      </w:r>
    </w:p>
    <w:p w:rsidR="00017CA9" w:rsidRPr="00A86347" w:rsidRDefault="00017CA9" w:rsidP="00A86347">
      <w:pPr>
        <w:spacing w:after="0" w:line="360" w:lineRule="auto"/>
        <w:rPr>
          <w:rFonts w:ascii="Arial" w:hAnsi="Arial" w:cs="Arial"/>
        </w:rPr>
      </w:pPr>
      <w:r w:rsidRPr="00A86347">
        <w:rPr>
          <w:rFonts w:ascii="Arial" w:hAnsi="Arial" w:cs="Arial"/>
        </w:rPr>
        <w:t>Penicillin VK</w:t>
      </w:r>
      <w:r w:rsidR="00C32197">
        <w:rPr>
          <w:rFonts w:ascii="Arial" w:hAnsi="Arial" w:cs="Arial"/>
        </w:rPr>
        <w:t xml:space="preserve"> (Oral Tablet: 250 mg, 500 mg; Oral Suspension: 125 mg/5 ml, 250 mg/5 ml)</w:t>
      </w:r>
      <w:r w:rsidRPr="00A86347">
        <w:rPr>
          <w:rFonts w:ascii="Arial" w:hAnsi="Arial" w:cs="Arial"/>
        </w:rPr>
        <w:t xml:space="preserve">: Adults: 750 mg orally twice daily </w:t>
      </w:r>
      <w:r w:rsidR="009611A3">
        <w:rPr>
          <w:rFonts w:ascii="Arial" w:hAnsi="Arial" w:cs="Arial"/>
        </w:rPr>
        <w:t xml:space="preserve">(weight &gt; 60 kg), 500 mg orally </w:t>
      </w:r>
      <w:r w:rsidRPr="00A86347">
        <w:rPr>
          <w:rFonts w:ascii="Arial" w:hAnsi="Arial" w:cs="Arial"/>
        </w:rPr>
        <w:t>twice daily (weight &lt; 60 kg). Children: 250 mg o</w:t>
      </w:r>
      <w:r w:rsidR="009611A3">
        <w:rPr>
          <w:rFonts w:ascii="Arial" w:hAnsi="Arial" w:cs="Arial"/>
        </w:rPr>
        <w:t xml:space="preserve">rally twice daily (weight 20-40 </w:t>
      </w:r>
      <w:r w:rsidRPr="00A86347">
        <w:rPr>
          <w:rFonts w:ascii="Arial" w:hAnsi="Arial" w:cs="Arial"/>
        </w:rPr>
        <w:t>kg), 125 mg orally twice daily (weight &lt; 20 kg)</w:t>
      </w:r>
    </w:p>
    <w:p w:rsidR="009611A3" w:rsidRDefault="009611A3" w:rsidP="00A86347">
      <w:pPr>
        <w:spacing w:after="0" w:line="360" w:lineRule="auto"/>
        <w:rPr>
          <w:rFonts w:ascii="Arial" w:hAnsi="Arial" w:cs="Arial"/>
        </w:rPr>
      </w:pPr>
    </w:p>
    <w:p w:rsidR="00017CA9" w:rsidRPr="00A86347" w:rsidRDefault="00017CA9" w:rsidP="00A86347">
      <w:pPr>
        <w:spacing w:after="0" w:line="360" w:lineRule="auto"/>
        <w:rPr>
          <w:rFonts w:ascii="Arial" w:hAnsi="Arial" w:cs="Arial"/>
          <w:b/>
          <w:bCs/>
          <w:i/>
          <w:iCs/>
        </w:rPr>
      </w:pPr>
      <w:r w:rsidRPr="00A86347">
        <w:rPr>
          <w:rFonts w:ascii="Arial" w:hAnsi="Arial" w:cs="Arial"/>
          <w:b/>
          <w:bCs/>
          <w:i/>
          <w:iCs/>
        </w:rPr>
        <w:t>VZV prophylaxis:</w:t>
      </w:r>
    </w:p>
    <w:p w:rsidR="00017CA9" w:rsidRPr="00A86347" w:rsidRDefault="00017CA9" w:rsidP="00A86347">
      <w:pPr>
        <w:spacing w:after="0" w:line="360" w:lineRule="auto"/>
        <w:rPr>
          <w:rFonts w:ascii="Arial" w:hAnsi="Arial" w:cs="Arial"/>
        </w:rPr>
      </w:pPr>
      <w:r w:rsidRPr="00A86347">
        <w:rPr>
          <w:rFonts w:ascii="Arial" w:hAnsi="Arial" w:cs="Arial"/>
        </w:rPr>
        <w:t>Acyclovir: (</w:t>
      </w:r>
      <w:r w:rsidR="00C32197">
        <w:rPr>
          <w:rFonts w:ascii="Arial" w:hAnsi="Arial" w:cs="Arial"/>
        </w:rPr>
        <w:t xml:space="preserve">Oral capsule: </w:t>
      </w:r>
      <w:r w:rsidRPr="00A86347">
        <w:rPr>
          <w:rFonts w:ascii="Arial" w:hAnsi="Arial" w:cs="Arial"/>
        </w:rPr>
        <w:t>200 mg</w:t>
      </w:r>
      <w:r w:rsidR="00C32197">
        <w:rPr>
          <w:rFonts w:ascii="Arial" w:hAnsi="Arial" w:cs="Arial"/>
        </w:rPr>
        <w:t>;</w:t>
      </w:r>
      <w:r w:rsidRPr="00A86347">
        <w:rPr>
          <w:rFonts w:ascii="Arial" w:hAnsi="Arial" w:cs="Arial"/>
        </w:rPr>
        <w:t xml:space="preserve"> </w:t>
      </w:r>
      <w:r w:rsidR="00C32197">
        <w:rPr>
          <w:rFonts w:ascii="Arial" w:hAnsi="Arial" w:cs="Arial"/>
        </w:rPr>
        <w:t>Oral tablet 400 mg, 800 ml; Oral suspension</w:t>
      </w:r>
      <w:r w:rsidR="000E2325">
        <w:rPr>
          <w:rFonts w:ascii="Arial" w:hAnsi="Arial" w:cs="Arial"/>
        </w:rPr>
        <w:t xml:space="preserve"> 200 mg/5 ml): Adults: 4</w:t>
      </w:r>
      <w:r w:rsidRPr="00A86347">
        <w:rPr>
          <w:rFonts w:ascii="Arial" w:hAnsi="Arial" w:cs="Arial"/>
        </w:rPr>
        <w:t>00 mg orally twice daily, c</w:t>
      </w:r>
      <w:r w:rsidR="009611A3">
        <w:rPr>
          <w:rFonts w:ascii="Arial" w:hAnsi="Arial" w:cs="Arial"/>
        </w:rPr>
        <w:t>hildren</w:t>
      </w:r>
      <w:r w:rsidR="000E2325">
        <w:rPr>
          <w:rFonts w:ascii="Arial" w:hAnsi="Arial" w:cs="Arial"/>
        </w:rPr>
        <w:t xml:space="preserve"> &lt; 6 yo 200 mg orally twice daily</w:t>
      </w:r>
      <w:r w:rsidRPr="00A86347">
        <w:rPr>
          <w:rFonts w:ascii="Arial" w:hAnsi="Arial" w:cs="Arial"/>
        </w:rPr>
        <w:t>.</w:t>
      </w:r>
    </w:p>
    <w:p w:rsidR="009611A3" w:rsidRDefault="00017CA9" w:rsidP="00A86347">
      <w:pPr>
        <w:spacing w:after="0" w:line="360" w:lineRule="auto"/>
        <w:rPr>
          <w:rFonts w:ascii="Arial" w:hAnsi="Arial" w:cs="Arial"/>
        </w:rPr>
      </w:pPr>
      <w:r w:rsidRPr="00A86347">
        <w:rPr>
          <w:rFonts w:ascii="Arial" w:hAnsi="Arial" w:cs="Arial"/>
        </w:rPr>
        <w:t xml:space="preserve">Valacyclovir (500 mg and 1 g oral tablets): Adults: 500 mg orally </w:t>
      </w:r>
      <w:r w:rsidR="000E2325">
        <w:rPr>
          <w:rFonts w:ascii="Arial" w:hAnsi="Arial" w:cs="Arial"/>
        </w:rPr>
        <w:t xml:space="preserve">once to </w:t>
      </w:r>
      <w:r w:rsidRPr="00A86347">
        <w:rPr>
          <w:rFonts w:ascii="Arial" w:hAnsi="Arial" w:cs="Arial"/>
        </w:rPr>
        <w:t>twice</w:t>
      </w:r>
      <w:r w:rsidR="009611A3">
        <w:rPr>
          <w:rFonts w:ascii="Arial" w:hAnsi="Arial" w:cs="Arial"/>
        </w:rPr>
        <w:t xml:space="preserve"> </w:t>
      </w:r>
      <w:r w:rsidRPr="00A86347">
        <w:rPr>
          <w:rFonts w:ascii="Arial" w:hAnsi="Arial" w:cs="Arial"/>
        </w:rPr>
        <w:t xml:space="preserve">daily. </w:t>
      </w:r>
    </w:p>
    <w:p w:rsidR="00017CA9" w:rsidRPr="00A86347" w:rsidRDefault="00017CA9" w:rsidP="00A86347">
      <w:pPr>
        <w:spacing w:after="0" w:line="360" w:lineRule="auto"/>
        <w:rPr>
          <w:rFonts w:ascii="Arial" w:hAnsi="Arial" w:cs="Arial"/>
        </w:rPr>
      </w:pPr>
      <w:r w:rsidRPr="00A86347">
        <w:rPr>
          <w:rFonts w:ascii="Arial" w:hAnsi="Arial" w:cs="Arial"/>
        </w:rPr>
        <w:t>Children and adults &lt; 40 kg: 250 mg orally twice daily</w:t>
      </w:r>
    </w:p>
    <w:p w:rsidR="000E2325" w:rsidRDefault="000E2325">
      <w:pPr>
        <w:rPr>
          <w:rFonts w:ascii="Arial" w:hAnsi="Arial" w:cs="Arial"/>
          <w:b/>
          <w:bCs/>
        </w:rPr>
      </w:pPr>
    </w:p>
    <w:p w:rsidR="000E2325" w:rsidRDefault="000E2325">
      <w:pPr>
        <w:rPr>
          <w:rFonts w:ascii="Arial" w:hAnsi="Arial" w:cs="Arial"/>
          <w:bCs/>
        </w:rPr>
      </w:pPr>
      <w:r w:rsidRPr="000E2325">
        <w:rPr>
          <w:rFonts w:ascii="Arial" w:hAnsi="Arial" w:cs="Arial"/>
          <w:b/>
          <w:bCs/>
          <w:i/>
        </w:rPr>
        <w:t>Fungal Prophylaxis</w:t>
      </w:r>
      <w:r>
        <w:rPr>
          <w:rFonts w:ascii="Arial" w:hAnsi="Arial" w:cs="Arial"/>
          <w:b/>
          <w:bCs/>
        </w:rPr>
        <w:t xml:space="preserve">:  </w:t>
      </w:r>
      <w:r w:rsidRPr="000E2325">
        <w:rPr>
          <w:rFonts w:ascii="Arial" w:hAnsi="Arial" w:cs="Arial"/>
          <w:bCs/>
        </w:rPr>
        <w:t>For those considered at high risk</w:t>
      </w:r>
      <w:r>
        <w:rPr>
          <w:rFonts w:ascii="Arial" w:hAnsi="Arial" w:cs="Arial"/>
          <w:bCs/>
        </w:rPr>
        <w:t xml:space="preserve"> for mold infections, generally on &gt; 0.5 mg/kg of prednisone.</w:t>
      </w:r>
    </w:p>
    <w:p w:rsidR="00D47E6F" w:rsidRDefault="00D47E6F" w:rsidP="00D47E6F">
      <w:pPr>
        <w:rPr>
          <w:rFonts w:ascii="Arial" w:hAnsi="Arial" w:cs="Arial"/>
          <w:bCs/>
        </w:rPr>
      </w:pPr>
      <w:r>
        <w:rPr>
          <w:rFonts w:ascii="Arial" w:hAnsi="Arial" w:cs="Arial"/>
          <w:bCs/>
        </w:rPr>
        <w:t xml:space="preserve">Voriconazole (Oral Tablet: 50 mg, 200 mg; Oral Suspension: 40 mg/ml):  Adults: 200 mg orally twice daily.  Children:  4 mg/kg/day in twice daily divided doses.  In order to avoid toxicity and to ensure appropriate dosing, recommend monitoring levels after 5 days of dosing with goal trough level of between 2-6.  </w:t>
      </w:r>
    </w:p>
    <w:p w:rsidR="00D47E6F" w:rsidRDefault="00D47E6F" w:rsidP="00D47E6F">
      <w:pPr>
        <w:rPr>
          <w:rFonts w:ascii="Arial" w:hAnsi="Arial" w:cs="Arial"/>
          <w:bCs/>
        </w:rPr>
      </w:pPr>
      <w:r>
        <w:rPr>
          <w:rFonts w:ascii="Arial" w:hAnsi="Arial" w:cs="Arial"/>
          <w:bCs/>
        </w:rPr>
        <w:t>Posaconazole (Oral Tablet:  100 mg; Oral suspension 40 mg/ml).  Of note, due to the inconsistent absorption of the suspension, it is not generally recommended.  The following dose is based on the tablet.  Adult:  300 mg oral daily.</w:t>
      </w:r>
    </w:p>
    <w:p w:rsidR="00D47E6F" w:rsidRDefault="00D47E6F" w:rsidP="00D47E6F">
      <w:pPr>
        <w:pStyle w:val="ListParagraph"/>
        <w:numPr>
          <w:ilvl w:val="0"/>
          <w:numId w:val="23"/>
        </w:numPr>
        <w:autoSpaceDE w:val="0"/>
        <w:autoSpaceDN w:val="0"/>
        <w:adjustRightInd w:val="0"/>
        <w:spacing w:after="0" w:line="240" w:lineRule="auto"/>
        <w:rPr>
          <w:rFonts w:ascii="Arial" w:hAnsi="Arial" w:cs="Arial"/>
        </w:rPr>
      </w:pPr>
      <w:r>
        <w:rPr>
          <w:rFonts w:ascii="Arial" w:hAnsi="Arial" w:cs="Arial"/>
        </w:rPr>
        <w:t>For 13 years and older a tablet dose of 300 mg daily has been established.  Standard dosing with tablets for younger patients has not been established, but based on bioavailability the following weight based dosing could be considered:  10-20 kg: 100 mg daily, 20-40 kg: 200 mg daily and  &gt;40 kg 300 mg daily</w:t>
      </w:r>
    </w:p>
    <w:p w:rsidR="00D47E6F" w:rsidRDefault="00D47E6F" w:rsidP="00D47E6F">
      <w:pPr>
        <w:pStyle w:val="ListParagraph"/>
        <w:numPr>
          <w:ilvl w:val="0"/>
          <w:numId w:val="23"/>
        </w:numPr>
        <w:autoSpaceDE w:val="0"/>
        <w:autoSpaceDN w:val="0"/>
        <w:adjustRightInd w:val="0"/>
        <w:spacing w:after="0" w:line="240" w:lineRule="auto"/>
        <w:rPr>
          <w:rFonts w:ascii="Arial" w:hAnsi="Arial" w:cs="Arial"/>
        </w:rPr>
      </w:pPr>
      <w:r>
        <w:rPr>
          <w:rFonts w:ascii="Arial" w:hAnsi="Arial" w:cs="Arial"/>
        </w:rPr>
        <w:t>For pediatric patients unable to take tablets the following doses of suspension have been used in pediatric clinical trials for fever and neutropenia</w:t>
      </w:r>
      <w:hyperlink w:anchor="_ENREF_8" w:tooltip="Doring, 2015 #423" w:history="1">
        <w:r w:rsidR="00CB168C" w:rsidRPr="00A7130E">
          <w:rPr>
            <w:rFonts w:ascii="Arial" w:hAnsi="Arial" w:cs="Arial"/>
          </w:rPr>
          <w:fldChar w:fldCharType="begin">
            <w:fldData xml:space="preserve">PEVuZE5vdGU+PENpdGU+PEF1dGhvcj5Eb3Jpbmc8L0F1dGhvcj48WWVhcj4yMDE1PC9ZZWFyPjxS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</w:fldData>
          </w:fldChar>
        </w:r>
        <w:r w:rsidR="00A7130E">
          <w:rPr>
            <w:rFonts w:ascii="Arial" w:hAnsi="Arial" w:cs="Arial"/>
          </w:rPr>
          <w:instrText xml:space="preserve"> ADDIN EN.CITE </w:instrText>
        </w:r>
        <w:r w:rsidR="00CB168C">
          <w:rPr>
            <w:rFonts w:ascii="Arial" w:hAnsi="Arial" w:cs="Arial"/>
          </w:rPr>
          <w:fldChar w:fldCharType="begin">
            <w:fldData xml:space="preserve">PEVuZE5vdGU+PENpdGU+PEF1dGhvcj5Eb3Jpbmc8L0F1dGhvcj48WWVhcj4yMDE1PC9ZZWFyPjxS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</w:fldData>
          </w:fldChar>
        </w:r>
        <w:r w:rsidR="00A7130E">
          <w:rPr>
            <w:rFonts w:ascii="Arial" w:hAnsi="Arial" w:cs="Arial"/>
          </w:rPr>
          <w:instrText xml:space="preserve"> ADDIN EN.CITE.DATA </w:instrText>
        </w:r>
        <w:r w:rsidR="00CB168C">
          <w:rPr>
            <w:rFonts w:ascii="Arial" w:hAnsi="Arial" w:cs="Arial"/>
          </w:rPr>
        </w:r>
        <w:r w:rsidR="00CB168C">
          <w:rPr>
            <w:rFonts w:ascii="Arial" w:hAnsi="Arial" w:cs="Arial"/>
          </w:rPr>
          <w:fldChar w:fldCharType="end"/>
        </w:r>
        <w:r w:rsidR="00CB168C" w:rsidRPr="00A7130E">
          <w:rPr>
            <w:rFonts w:ascii="Arial" w:hAnsi="Arial" w:cs="Arial"/>
          </w:rPr>
        </w:r>
        <w:r w:rsidR="00CB168C" w:rsidRPr="00A7130E">
          <w:rPr>
            <w:rFonts w:ascii="Arial" w:hAnsi="Arial" w:cs="Arial"/>
          </w:rPr>
          <w:fldChar w:fldCharType="separate"/>
        </w:r>
        <w:r w:rsidR="00A7130E" w:rsidRPr="00A7130E">
          <w:rPr>
            <w:rFonts w:ascii="Arial" w:hAnsi="Arial" w:cs="Arial"/>
            <w:noProof/>
            <w:vertAlign w:val="superscript"/>
          </w:rPr>
          <w:t>8</w:t>
        </w:r>
        <w:r w:rsidR="00CB168C" w:rsidRPr="00A7130E">
          <w:rPr>
            <w:rFonts w:ascii="Arial" w:hAnsi="Arial" w:cs="Arial"/>
          </w:rPr>
          <w:fldChar w:fldCharType="end"/>
        </w:r>
      </w:hyperlink>
      <w:r>
        <w:rPr>
          <w:rFonts w:ascii="Arial" w:hAnsi="Arial" w:cs="Arial"/>
        </w:rPr>
        <w:t>, post-allogeneic HCT</w:t>
      </w:r>
      <w:hyperlink w:anchor="_ENREF_9" w:tooltip="Doring, 2014 #422" w:history="1">
        <w:r w:rsidR="00CB168C" w:rsidRPr="00A7130E">
          <w:rPr>
            <w:rFonts w:ascii="Arial" w:hAnsi="Arial" w:cs="Arial"/>
          </w:rPr>
          <w:fldChar w:fldCharType="begin">
            <w:fldData xml:space="preserve">PEVuZE5vdGU+PENpdGU+PEF1dGhvcj5Eb3Jpbmc8L0F1dGhvcj48WWVhcj4yMDE0PC9ZZWFyPjxS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</w:fldData>
          </w:fldChar>
        </w:r>
        <w:r w:rsidR="00A7130E">
          <w:rPr>
            <w:rFonts w:ascii="Arial" w:hAnsi="Arial" w:cs="Arial"/>
          </w:rPr>
          <w:instrText xml:space="preserve"> ADDIN EN.CITE </w:instrText>
        </w:r>
        <w:r w:rsidR="00CB168C">
          <w:rPr>
            <w:rFonts w:ascii="Arial" w:hAnsi="Arial" w:cs="Arial"/>
          </w:rPr>
          <w:fldChar w:fldCharType="begin">
            <w:fldData xml:space="preserve">PEVuZE5vdGU+PENpdGU+PEF1dGhvcj5Eb3Jpbmc8L0F1dGhvcj48WWVhcj4yMDE0PC9ZZWFyPjxS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</w:fldData>
          </w:fldChar>
        </w:r>
        <w:r w:rsidR="00A7130E">
          <w:rPr>
            <w:rFonts w:ascii="Arial" w:hAnsi="Arial" w:cs="Arial"/>
          </w:rPr>
          <w:instrText xml:space="preserve"> ADDIN EN.CITE.DATA </w:instrText>
        </w:r>
        <w:r w:rsidR="00CB168C">
          <w:rPr>
            <w:rFonts w:ascii="Arial" w:hAnsi="Arial" w:cs="Arial"/>
          </w:rPr>
        </w:r>
        <w:r w:rsidR="00CB168C">
          <w:rPr>
            <w:rFonts w:ascii="Arial" w:hAnsi="Arial" w:cs="Arial"/>
          </w:rPr>
          <w:fldChar w:fldCharType="end"/>
        </w:r>
        <w:r w:rsidR="00CB168C" w:rsidRPr="00A7130E">
          <w:rPr>
            <w:rFonts w:ascii="Arial" w:hAnsi="Arial" w:cs="Arial"/>
          </w:rPr>
        </w:r>
        <w:r w:rsidR="00CB168C" w:rsidRPr="00A7130E">
          <w:rPr>
            <w:rFonts w:ascii="Arial" w:hAnsi="Arial" w:cs="Arial"/>
          </w:rPr>
          <w:fldChar w:fldCharType="separate"/>
        </w:r>
        <w:r w:rsidR="00A7130E" w:rsidRPr="00A7130E">
          <w:rPr>
            <w:rFonts w:ascii="Arial" w:hAnsi="Arial" w:cs="Arial"/>
            <w:noProof/>
            <w:vertAlign w:val="superscript"/>
          </w:rPr>
          <w:t>9</w:t>
        </w:r>
        <w:r w:rsidR="00CB168C" w:rsidRPr="00A7130E">
          <w:rPr>
            <w:rFonts w:ascii="Arial" w:hAnsi="Arial" w:cs="Arial"/>
          </w:rPr>
          <w:fldChar w:fldCharType="end"/>
        </w:r>
      </w:hyperlink>
      <w:r>
        <w:rPr>
          <w:rFonts w:ascii="Arial" w:hAnsi="Arial" w:cs="Arial"/>
        </w:rPr>
        <w:t xml:space="preserve"> as well as the chronic granulomatous disease population</w:t>
      </w:r>
      <w:hyperlink w:anchor="_ENREF_10" w:tooltip="Welzen, 2011 #421" w:history="1">
        <w:r w:rsidR="00CB168C" w:rsidRPr="00A7130E">
          <w:rPr>
            <w:rFonts w:ascii="Arial" w:hAnsi="Arial" w:cs="Arial"/>
          </w:rPr>
          <w:fldChar w:fldCharType="begin">
            <w:fldData xml:space="preserve">PEVuZE5vdGU+PENpdGU+PEF1dGhvcj5XZWx6ZW48L0F1dGhvcj48WWVhcj4yMDExPC9ZZWFyPjxS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==
</w:fldData>
          </w:fldChar>
        </w:r>
        <w:r w:rsidR="00A7130E">
          <w:rPr>
            <w:rFonts w:ascii="Arial" w:hAnsi="Arial" w:cs="Arial"/>
          </w:rPr>
          <w:instrText xml:space="preserve"> ADDIN EN.CITE </w:instrText>
        </w:r>
        <w:r w:rsidR="00CB168C">
          <w:rPr>
            <w:rFonts w:ascii="Arial" w:hAnsi="Arial" w:cs="Arial"/>
          </w:rPr>
          <w:fldChar w:fldCharType="begin">
            <w:fldData xml:space="preserve">PEVuZE5vdGU+PENpdGU+PEF1dGhvcj5XZWx6ZW48L0F1dGhvcj48WWVhcj4yMDExPC9ZZWFyPjxS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==
</w:fldData>
          </w:fldChar>
        </w:r>
        <w:r w:rsidR="00A7130E">
          <w:rPr>
            <w:rFonts w:ascii="Arial" w:hAnsi="Arial" w:cs="Arial"/>
          </w:rPr>
          <w:instrText xml:space="preserve"> ADDIN EN.CITE.DATA </w:instrText>
        </w:r>
        <w:r w:rsidR="00CB168C">
          <w:rPr>
            <w:rFonts w:ascii="Arial" w:hAnsi="Arial" w:cs="Arial"/>
          </w:rPr>
        </w:r>
        <w:r w:rsidR="00CB168C">
          <w:rPr>
            <w:rFonts w:ascii="Arial" w:hAnsi="Arial" w:cs="Arial"/>
          </w:rPr>
          <w:fldChar w:fldCharType="end"/>
        </w:r>
        <w:r w:rsidR="00CB168C" w:rsidRPr="00A7130E">
          <w:rPr>
            <w:rFonts w:ascii="Arial" w:hAnsi="Arial" w:cs="Arial"/>
          </w:rPr>
        </w:r>
        <w:r w:rsidR="00CB168C" w:rsidRPr="00A7130E">
          <w:rPr>
            <w:rFonts w:ascii="Arial" w:hAnsi="Arial" w:cs="Arial"/>
          </w:rPr>
          <w:fldChar w:fldCharType="separate"/>
        </w:r>
        <w:r w:rsidR="00A7130E" w:rsidRPr="00A7130E">
          <w:rPr>
            <w:rFonts w:ascii="Arial" w:hAnsi="Arial" w:cs="Arial"/>
            <w:noProof/>
            <w:vertAlign w:val="superscript"/>
          </w:rPr>
          <w:t>10</w:t>
        </w:r>
        <w:r w:rsidR="00CB168C" w:rsidRPr="00A7130E">
          <w:rPr>
            <w:rFonts w:ascii="Arial" w:hAnsi="Arial" w:cs="Arial"/>
          </w:rPr>
          <w:fldChar w:fldCharType="end"/>
        </w:r>
      </w:hyperlink>
      <w:r>
        <w:rPr>
          <w:rFonts w:ascii="Arial" w:hAnsi="Arial" w:cs="Arial"/>
        </w:rPr>
        <w:t xml:space="preserve"> with acceptable trough levels and safety profile.</w:t>
      </w:r>
    </w:p>
    <w:p w:rsidR="00D47E6F" w:rsidRDefault="00D47E6F" w:rsidP="00D47E6F">
      <w:pPr>
        <w:pStyle w:val="ListParagraph"/>
        <w:numPr>
          <w:ilvl w:val="1"/>
          <w:numId w:val="23"/>
        </w:numPr>
        <w:autoSpaceDE w:val="0"/>
        <w:autoSpaceDN w:val="0"/>
        <w:adjustRightInd w:val="0"/>
        <w:spacing w:after="0" w:line="240" w:lineRule="auto"/>
        <w:rPr>
          <w:rFonts w:ascii="Arial" w:hAnsi="Arial" w:cs="Arial"/>
        </w:rPr>
      </w:pPr>
      <w:r>
        <w:rPr>
          <w:rFonts w:ascii="Arial" w:hAnsi="Arial" w:cs="Arial"/>
        </w:rPr>
        <w:t xml:space="preserve">BID dosing: up to 25 kg: 10-15 mg/kg/dose 25-40 kg: 8 mg/kg/dose at 25-40kg  </w:t>
      </w:r>
    </w:p>
    <w:p w:rsidR="00D47E6F" w:rsidRDefault="00D47E6F" w:rsidP="00D47E6F">
      <w:pPr>
        <w:pStyle w:val="ListParagraph"/>
        <w:numPr>
          <w:ilvl w:val="1"/>
          <w:numId w:val="23"/>
        </w:numPr>
        <w:autoSpaceDE w:val="0"/>
        <w:autoSpaceDN w:val="0"/>
        <w:adjustRightInd w:val="0"/>
        <w:spacing w:after="0" w:line="240" w:lineRule="auto"/>
        <w:rPr>
          <w:rFonts w:ascii="Arial" w:hAnsi="Arial" w:cs="Arial"/>
        </w:rPr>
      </w:pPr>
      <w:r>
        <w:rPr>
          <w:rFonts w:ascii="Arial" w:hAnsi="Arial" w:cs="Arial"/>
        </w:rPr>
        <w:t>TID dosing:  4 mg/kg/dose (max dose 200 mg) for children less than 12 yo</w:t>
      </w:r>
    </w:p>
    <w:p w:rsidR="00D47E6F" w:rsidRDefault="00D47E6F" w:rsidP="00D47E6F">
      <w:pPr>
        <w:autoSpaceDE w:val="0"/>
        <w:autoSpaceDN w:val="0"/>
        <w:adjustRightInd w:val="0"/>
        <w:spacing w:after="0" w:line="240" w:lineRule="auto"/>
        <w:rPr>
          <w:rFonts w:ascii="Arial" w:hAnsi="Arial" w:cs="Arial"/>
        </w:rPr>
      </w:pPr>
    </w:p>
    <w:p w:rsidR="00D47E6F" w:rsidRDefault="00D47E6F" w:rsidP="00D47E6F">
      <w:pPr>
        <w:autoSpaceDE w:val="0"/>
        <w:autoSpaceDN w:val="0"/>
        <w:adjustRightInd w:val="0"/>
        <w:spacing w:after="0" w:line="240" w:lineRule="auto"/>
        <w:rPr>
          <w:rFonts w:ascii="Times New Roman" w:hAnsi="Times New Roman" w:cs="Times New Roman"/>
          <w:sz w:val="24"/>
          <w:szCs w:val="24"/>
        </w:rPr>
      </w:pPr>
      <w:r>
        <w:rPr>
          <w:rFonts w:ascii="Arial" w:hAnsi="Arial" w:cs="Arial"/>
        </w:rPr>
        <w:t>Levels have not been well established for Posaconazole but the general recommendation for prophylaxis based on average levels in prior clinical trials is a trough concentration &gt; 750 mcg/L  and &lt; 3000 mcg/L.</w:t>
      </w:r>
    </w:p>
    <w:p w:rsidR="000E2325" w:rsidRDefault="000E2325">
      <w:pPr>
        <w:rPr>
          <w:rFonts w:ascii="Arial" w:hAnsi="Arial" w:cs="Arial"/>
          <w:bCs/>
        </w:rPr>
      </w:pPr>
      <w:r>
        <w:rPr>
          <w:rFonts w:ascii="Arial" w:hAnsi="Arial" w:cs="Arial"/>
          <w:bCs/>
        </w:rPr>
        <w:br w:type="page"/>
      </w:r>
    </w:p>
    <w:p w:rsidR="000E2325" w:rsidRDefault="000E2325">
      <w:pPr>
        <w:rPr>
          <w:rFonts w:ascii="Arial" w:hAnsi="Arial" w:cs="Arial"/>
          <w:b/>
          <w:bCs/>
        </w:rPr>
      </w:pPr>
    </w:p>
    <w:p w:rsidR="00017CA9" w:rsidRPr="001E6573" w:rsidRDefault="001E6573" w:rsidP="00A86347">
      <w:pPr>
        <w:spacing w:after="0" w:line="360" w:lineRule="auto"/>
        <w:rPr>
          <w:rFonts w:ascii="Arial" w:hAnsi="Arial" w:cs="Arial"/>
          <w:b/>
          <w:bCs/>
          <w:sz w:val="24"/>
        </w:rPr>
      </w:pPr>
      <w:r w:rsidRPr="001E6573">
        <w:rPr>
          <w:rFonts w:ascii="Arial" w:hAnsi="Arial" w:cs="Arial"/>
          <w:b/>
          <w:bCs/>
          <w:sz w:val="24"/>
        </w:rPr>
        <w:t xml:space="preserve">Supplement 10 - </w:t>
      </w:r>
      <w:r w:rsidR="00017CA9" w:rsidRPr="001E6573">
        <w:rPr>
          <w:rFonts w:ascii="Arial" w:hAnsi="Arial" w:cs="Arial"/>
          <w:b/>
          <w:bCs/>
          <w:sz w:val="24"/>
        </w:rPr>
        <w:t>Specific Dispensary Directions for Musculoskeletal System</w:t>
      </w:r>
    </w:p>
    <w:p w:rsidR="00017CA9" w:rsidRPr="00A86347" w:rsidRDefault="00017CA9" w:rsidP="00A86347">
      <w:pPr>
        <w:spacing w:after="0" w:line="360" w:lineRule="auto"/>
        <w:rPr>
          <w:rFonts w:ascii="Arial" w:hAnsi="Arial" w:cs="Arial"/>
        </w:rPr>
      </w:pPr>
      <w:r w:rsidRPr="00A86347">
        <w:rPr>
          <w:rFonts w:ascii="Arial" w:hAnsi="Arial" w:cs="Arial"/>
        </w:rPr>
        <w:t>Calcium replacement (multiple formulations)</w:t>
      </w:r>
      <w:r w:rsidRPr="00A86347">
        <w:rPr>
          <w:rFonts w:ascii="Arial" w:hAnsi="Arial" w:cs="Arial"/>
          <w:b/>
          <w:bCs/>
        </w:rPr>
        <w:t xml:space="preserve">: </w:t>
      </w:r>
      <w:r w:rsidRPr="00A86347">
        <w:rPr>
          <w:rFonts w:ascii="Arial" w:hAnsi="Arial" w:cs="Arial"/>
        </w:rPr>
        <w:t>1000-1500 mg of elemental calc</w:t>
      </w:r>
      <w:r w:rsidR="009611A3">
        <w:rPr>
          <w:rFonts w:ascii="Arial" w:hAnsi="Arial" w:cs="Arial"/>
        </w:rPr>
        <w:t>ium oral</w:t>
      </w:r>
      <w:r w:rsidRPr="00A86347">
        <w:rPr>
          <w:rFonts w:ascii="Arial" w:hAnsi="Arial" w:cs="Arial"/>
        </w:rPr>
        <w:t xml:space="preserve"> daily.</w:t>
      </w:r>
    </w:p>
    <w:p w:rsidR="009611A3" w:rsidRDefault="009611A3" w:rsidP="00A86347">
      <w:pPr>
        <w:spacing w:after="0" w:line="360" w:lineRule="auto"/>
        <w:rPr>
          <w:rFonts w:ascii="Arial" w:hAnsi="Arial" w:cs="Arial"/>
        </w:rPr>
      </w:pPr>
    </w:p>
    <w:p w:rsidR="00017CA9" w:rsidRPr="00A86347" w:rsidRDefault="00017CA9" w:rsidP="00A86347">
      <w:pPr>
        <w:spacing w:after="0" w:line="360" w:lineRule="auto"/>
        <w:rPr>
          <w:rFonts w:ascii="Arial" w:hAnsi="Arial" w:cs="Arial"/>
        </w:rPr>
      </w:pPr>
      <w:r w:rsidRPr="00A86347">
        <w:rPr>
          <w:rFonts w:ascii="Arial" w:hAnsi="Arial" w:cs="Arial"/>
        </w:rPr>
        <w:t>Vitamin D replacement (25000 IU oral capsule</w:t>
      </w:r>
      <w:r w:rsidR="009611A3">
        <w:rPr>
          <w:rFonts w:ascii="Arial" w:hAnsi="Arial" w:cs="Arial"/>
        </w:rPr>
        <w:t xml:space="preserve">, 50,000 IU oral capsule, liquid </w:t>
      </w:r>
      <w:r w:rsidRPr="00A86347">
        <w:rPr>
          <w:rFonts w:ascii="Arial" w:hAnsi="Arial" w:cs="Arial"/>
        </w:rPr>
        <w:t xml:space="preserve">filled, 8000 IU/ml oral liquid, 400 IU, 50000 IU </w:t>
      </w:r>
      <w:r w:rsidR="009611A3">
        <w:rPr>
          <w:rFonts w:ascii="Arial" w:hAnsi="Arial" w:cs="Arial"/>
        </w:rPr>
        <w:t xml:space="preserve">oral tablet): 400-800 IU orally </w:t>
      </w:r>
      <w:r w:rsidRPr="00A86347">
        <w:rPr>
          <w:rFonts w:ascii="Arial" w:hAnsi="Arial" w:cs="Arial"/>
        </w:rPr>
        <w:t>daily.</w:t>
      </w:r>
    </w:p>
    <w:p w:rsidR="009611A3" w:rsidRDefault="009611A3" w:rsidP="00A86347">
      <w:pPr>
        <w:spacing w:after="0" w:line="360" w:lineRule="auto"/>
        <w:rPr>
          <w:rFonts w:ascii="Arial" w:hAnsi="Arial" w:cs="Arial"/>
        </w:rPr>
      </w:pPr>
    </w:p>
    <w:p w:rsidR="009611A3" w:rsidRDefault="00017CA9" w:rsidP="00A86347">
      <w:pPr>
        <w:spacing w:after="0" w:line="360" w:lineRule="auto"/>
        <w:rPr>
          <w:rFonts w:ascii="Arial" w:hAnsi="Arial" w:cs="Arial"/>
        </w:rPr>
      </w:pPr>
      <w:r w:rsidRPr="00A86347">
        <w:rPr>
          <w:rFonts w:ascii="Arial" w:hAnsi="Arial" w:cs="Arial"/>
        </w:rPr>
        <w:t>Biphosphonates: (e.g. alendronate 5, 10, 35, 40, 70 mg oral tablets and 70</w:t>
      </w:r>
      <w:r w:rsidR="009611A3">
        <w:rPr>
          <w:rFonts w:ascii="Arial" w:hAnsi="Arial" w:cs="Arial"/>
        </w:rPr>
        <w:t xml:space="preserve"> </w:t>
      </w:r>
      <w:r w:rsidRPr="00A86347">
        <w:rPr>
          <w:rFonts w:ascii="Arial" w:hAnsi="Arial" w:cs="Arial"/>
        </w:rPr>
        <w:t xml:space="preserve">mg/75ml oral solution) </w:t>
      </w:r>
    </w:p>
    <w:p w:rsidR="00017CA9" w:rsidRPr="00A86347" w:rsidRDefault="00017CA9" w:rsidP="00A86347">
      <w:pPr>
        <w:spacing w:after="0" w:line="360" w:lineRule="auto"/>
        <w:rPr>
          <w:rFonts w:ascii="Arial" w:hAnsi="Arial" w:cs="Arial"/>
        </w:rPr>
      </w:pPr>
      <w:r w:rsidRPr="00A86347">
        <w:rPr>
          <w:rFonts w:ascii="Arial" w:hAnsi="Arial" w:cs="Arial"/>
          <w:i/>
          <w:iCs/>
        </w:rPr>
        <w:t>Treatment of osteoporosis</w:t>
      </w:r>
      <w:r w:rsidR="009611A3">
        <w:rPr>
          <w:rFonts w:ascii="Arial" w:hAnsi="Arial" w:cs="Arial"/>
        </w:rPr>
        <w:t xml:space="preserve">= 10 mg orally daily (in </w:t>
      </w:r>
      <w:r w:rsidRPr="00A86347">
        <w:rPr>
          <w:rFonts w:ascii="Arial" w:hAnsi="Arial" w:cs="Arial"/>
        </w:rPr>
        <w:t>corticosteroid-induced osteoporosis, post-menop</w:t>
      </w:r>
      <w:r w:rsidR="009611A3">
        <w:rPr>
          <w:rFonts w:ascii="Arial" w:hAnsi="Arial" w:cs="Arial"/>
        </w:rPr>
        <w:t xml:space="preserve">ausal women), 5 mg orally daily </w:t>
      </w:r>
      <w:r w:rsidRPr="00A86347">
        <w:rPr>
          <w:rFonts w:ascii="Arial" w:hAnsi="Arial" w:cs="Arial"/>
        </w:rPr>
        <w:t>(in corticosteroid-induced osteoporosis, males) or 70 mg orally weekly.</w:t>
      </w:r>
    </w:p>
    <w:p w:rsidR="00017CA9" w:rsidRPr="00A86347" w:rsidRDefault="00017CA9" w:rsidP="00A86347">
      <w:pPr>
        <w:spacing w:after="0" w:line="360" w:lineRule="auto"/>
        <w:rPr>
          <w:rFonts w:ascii="Arial" w:hAnsi="Arial" w:cs="Arial"/>
        </w:rPr>
      </w:pPr>
      <w:r w:rsidRPr="00A86347">
        <w:rPr>
          <w:rFonts w:ascii="Arial" w:hAnsi="Arial" w:cs="Arial"/>
          <w:i/>
          <w:iCs/>
        </w:rPr>
        <w:t>Prevention of osteoporosis</w:t>
      </w:r>
      <w:r w:rsidRPr="00A86347">
        <w:rPr>
          <w:rFonts w:ascii="Arial" w:hAnsi="Arial" w:cs="Arial"/>
        </w:rPr>
        <w:t>= 35 mg orally weekly.</w:t>
      </w:r>
    </w:p>
    <w:p w:rsidR="009611A3" w:rsidRDefault="009611A3" w:rsidP="00A86347">
      <w:pPr>
        <w:spacing w:after="0" w:line="360" w:lineRule="auto"/>
        <w:rPr>
          <w:rFonts w:ascii="Arial" w:hAnsi="Arial" w:cs="Arial"/>
        </w:rPr>
      </w:pPr>
    </w:p>
    <w:p w:rsidR="00017CA9" w:rsidRPr="00A86347" w:rsidRDefault="00017CA9" w:rsidP="00A86347">
      <w:pPr>
        <w:spacing w:after="0" w:line="360" w:lineRule="auto"/>
        <w:rPr>
          <w:rFonts w:ascii="Arial" w:hAnsi="Arial" w:cs="Arial"/>
        </w:rPr>
      </w:pPr>
      <w:r w:rsidRPr="00A86347">
        <w:rPr>
          <w:rFonts w:ascii="Arial" w:hAnsi="Arial" w:cs="Arial"/>
        </w:rPr>
        <w:t>Raloxifene (60 mg oral tablet) 60 mg orally daily.</w:t>
      </w:r>
    </w:p>
    <w:p w:rsidR="009611A3" w:rsidRDefault="009611A3" w:rsidP="00A86347">
      <w:pPr>
        <w:spacing w:after="0" w:line="360" w:lineRule="auto"/>
        <w:rPr>
          <w:rFonts w:ascii="Arial" w:hAnsi="Arial" w:cs="Arial"/>
        </w:rPr>
      </w:pPr>
    </w:p>
    <w:p w:rsidR="00017CA9" w:rsidRPr="00A86347" w:rsidRDefault="00017CA9" w:rsidP="00A86347">
      <w:pPr>
        <w:spacing w:after="0" w:line="360" w:lineRule="auto"/>
        <w:rPr>
          <w:rFonts w:ascii="Arial" w:hAnsi="Arial" w:cs="Arial"/>
        </w:rPr>
      </w:pPr>
      <w:r w:rsidRPr="00A86347">
        <w:rPr>
          <w:rFonts w:ascii="Arial" w:hAnsi="Arial" w:cs="Arial"/>
        </w:rPr>
        <w:t>Calcitonin (200 IU/ml injection solution and 200 IU/actuation nasal spray): 100 IU</w:t>
      </w:r>
    </w:p>
    <w:p w:rsidR="004C67BC" w:rsidRDefault="00017CA9" w:rsidP="00A86347">
      <w:pPr>
        <w:spacing w:after="0" w:line="360" w:lineRule="auto"/>
        <w:rPr>
          <w:rFonts w:ascii="Arial" w:hAnsi="Arial" w:cs="Arial"/>
        </w:rPr>
      </w:pPr>
      <w:r w:rsidRPr="00A86347">
        <w:rPr>
          <w:rFonts w:ascii="Arial" w:hAnsi="Arial" w:cs="Arial"/>
        </w:rPr>
        <w:t>intramuscular/subcutaneous daily or 200 IU intranasally daily.</w:t>
      </w:r>
    </w:p>
    <w:p w:rsidR="00DE6BD3" w:rsidRDefault="00DE6BD3" w:rsidP="00A86347">
      <w:pPr>
        <w:spacing w:after="0" w:line="360" w:lineRule="auto"/>
        <w:rPr>
          <w:rFonts w:ascii="Arial" w:hAnsi="Arial" w:cs="Arial"/>
        </w:rPr>
      </w:pPr>
    </w:p>
    <w:p w:rsidR="00DE6BD3" w:rsidRDefault="00DE6BD3">
      <w:pPr>
        <w:rPr>
          <w:rFonts w:ascii="Arial" w:hAnsi="Arial" w:cs="Arial"/>
        </w:rPr>
      </w:pPr>
      <w:r>
        <w:rPr>
          <w:rFonts w:ascii="Arial" w:hAnsi="Arial" w:cs="Arial"/>
        </w:rPr>
        <w:br w:type="page"/>
      </w:r>
    </w:p>
    <w:p w:rsidR="00DE6BD3" w:rsidRDefault="00C16D78" w:rsidP="00A86347">
      <w:pPr>
        <w:spacing w:after="0" w:line="360" w:lineRule="auto"/>
        <w:rPr>
          <w:rFonts w:ascii="Arial" w:hAnsi="Arial" w:cs="Arial"/>
        </w:rPr>
      </w:pPr>
      <w:r>
        <w:rPr>
          <w:rFonts w:ascii="Arial" w:hAnsi="Arial" w:cs="Arial"/>
          <w:b/>
        </w:rPr>
        <w:t xml:space="preserve">Supplement 11 - </w:t>
      </w:r>
      <w:r w:rsidR="00DE6BD3" w:rsidRPr="00DE6BD3">
        <w:rPr>
          <w:rFonts w:ascii="Arial" w:hAnsi="Arial" w:cs="Arial"/>
          <w:b/>
        </w:rPr>
        <w:t>Pediatric Neuropsychiatric Assessments</w:t>
      </w:r>
      <w:r w:rsidR="00DE6BD3">
        <w:rPr>
          <w:rFonts w:ascii="Arial" w:hAnsi="Arial" w:cs="Arial"/>
        </w:rPr>
        <w:t>:</w:t>
      </w:r>
    </w:p>
    <w:p w:rsidR="00DE6BD3" w:rsidRPr="00DE6BD3" w:rsidRDefault="00DE6BD3" w:rsidP="00DE6BD3">
      <w:pPr>
        <w:spacing w:after="0" w:line="360" w:lineRule="auto"/>
        <w:rPr>
          <w:rFonts w:ascii="Arial" w:hAnsi="Arial" w:cs="Arial"/>
        </w:rPr>
      </w:pPr>
      <w:r w:rsidRPr="00DE6BD3">
        <w:rPr>
          <w:rFonts w:ascii="Arial" w:hAnsi="Arial" w:cs="Arial"/>
        </w:rPr>
        <w:t>The following brief neuropsychological battery closely parallels the ongoing Children’s Oncology Group Standard Neuropsychological and Behavioral Battery</w:t>
      </w:r>
      <w:r w:rsidRPr="00DE6BD3">
        <w:rPr>
          <w:rFonts w:ascii="Arial" w:hAnsi="Arial" w:cs="Arial"/>
          <w:vertAlign w:val="superscript"/>
        </w:rPr>
        <w:t>1</w:t>
      </w:r>
      <w:r w:rsidRPr="00DE6BD3">
        <w:rPr>
          <w:rFonts w:ascii="Arial" w:hAnsi="Arial" w:cs="Arial"/>
        </w:rPr>
        <w:t xml:space="preserve">. This brief (60 minute) battery could be implemented by a neuropsychologist at 6 month intervals.  If the screening results indicate concern, a more extensive battery </w:t>
      </w:r>
      <w:r>
        <w:rPr>
          <w:rFonts w:ascii="Arial" w:hAnsi="Arial" w:cs="Arial"/>
        </w:rPr>
        <w:t>could</w:t>
      </w:r>
      <w:r w:rsidRPr="00DE6BD3">
        <w:rPr>
          <w:rFonts w:ascii="Arial" w:hAnsi="Arial" w:cs="Arial"/>
        </w:rPr>
        <w:t xml:space="preserve"> be used to supplement these subtests.  All the tests listed have age-based versions. </w:t>
      </w:r>
    </w:p>
    <w:p w:rsidR="00DE6BD3" w:rsidRPr="00DE6BD3" w:rsidRDefault="00DE6BD3" w:rsidP="00DE6BD3">
      <w:pPr>
        <w:spacing w:after="0" w:line="360" w:lineRule="auto"/>
        <w:rPr>
          <w:rFonts w:ascii="Arial" w:hAnsi="Arial" w:cs="Arial"/>
        </w:rPr>
      </w:pPr>
    </w:p>
    <w:p w:rsidR="00DE6BD3" w:rsidRPr="00DE6BD3" w:rsidRDefault="00DE6BD3" w:rsidP="00DE6BD3">
      <w:pPr>
        <w:spacing w:after="0" w:line="360" w:lineRule="auto"/>
        <w:rPr>
          <w:rFonts w:ascii="Arial" w:hAnsi="Arial" w:cs="Arial"/>
        </w:rPr>
      </w:pPr>
      <w:r w:rsidRPr="00DE6BD3">
        <w:rPr>
          <w:rFonts w:ascii="Arial" w:hAnsi="Arial" w:cs="Arial"/>
        </w:rPr>
        <w:t xml:space="preserve">To estimate intellectual functioning, Wechsler Intelligence Scales: Block Design, Vocabulary subtests (15 minutes). To estimate working memory/processing speed, Wechsler Intelligence Scales:  Digit span, Coding, Symbol Search subtests (15 minutes).  To estimate memory, Children’s Memory Scale: Stories, Faces, Dots subtests (15 minutes) plus California Verbal Learning Test (15 minutes). In addition, parent report measures could be used as screeners for behavior/emotion/social problems (Behavior Assessment System for Children – 2nd Edition; 20 minutes), executive functioning (Behavior Rating Inventory of Executive Function; 5 minutes) </w:t>
      </w:r>
    </w:p>
    <w:p w:rsidR="00DE6BD3" w:rsidRPr="00DE6BD3" w:rsidRDefault="00DE6BD3" w:rsidP="00DE6BD3">
      <w:pPr>
        <w:spacing w:after="0" w:line="360" w:lineRule="auto"/>
        <w:rPr>
          <w:rFonts w:ascii="Arial" w:hAnsi="Arial" w:cs="Arial"/>
        </w:rPr>
      </w:pPr>
    </w:p>
    <w:p w:rsidR="00DE6BD3" w:rsidRPr="00DE6BD3" w:rsidRDefault="00DE6BD3" w:rsidP="00DE6BD3">
      <w:pPr>
        <w:spacing w:after="0" w:line="360" w:lineRule="auto"/>
        <w:rPr>
          <w:rFonts w:ascii="Arial" w:hAnsi="Arial" w:cs="Arial"/>
        </w:rPr>
      </w:pPr>
      <w:r w:rsidRPr="00DE6BD3">
        <w:rPr>
          <w:rFonts w:ascii="Arial" w:hAnsi="Arial" w:cs="Arial"/>
          <w:vertAlign w:val="superscript"/>
        </w:rPr>
        <w:t>1</w:t>
      </w:r>
      <w:r w:rsidRPr="00DE6BD3">
        <w:rPr>
          <w:rFonts w:ascii="Arial" w:hAnsi="Arial" w:cs="Arial"/>
        </w:rPr>
        <w:t>Children’s Oncology Group, ALTE07C1 Neuropsychological, Social, Emotional, and Behavioral Outcomes in Children with Cancer</w:t>
      </w:r>
    </w:p>
    <w:p w:rsidR="00DE6BD3" w:rsidRPr="00DE6BD3" w:rsidRDefault="00D253F5" w:rsidP="00DE6BD3">
      <w:pPr>
        <w:spacing w:after="0" w:line="360" w:lineRule="auto"/>
        <w:rPr>
          <w:rFonts w:ascii="Arial" w:hAnsi="Arial" w:cs="Arial"/>
        </w:rPr>
      </w:pPr>
      <w:hyperlink r:id="rId10" w:history="1">
        <w:r w:rsidR="00DE6BD3" w:rsidRPr="00DE6BD3">
          <w:rPr>
            <w:rStyle w:val="Hyperlink"/>
            <w:rFonts w:ascii="Arial" w:hAnsi="Arial" w:cs="Arial"/>
          </w:rPr>
          <w:t>https://kidscancer.uchicago.edu/sites/pedscancer.uchicago.edu/files/uploads/ALTE07C1DOC.pdf</w:t>
        </w:r>
      </w:hyperlink>
    </w:p>
    <w:p w:rsidR="003A00AF" w:rsidRDefault="003A00AF" w:rsidP="00A86347">
      <w:pPr>
        <w:spacing w:after="0" w:line="360" w:lineRule="auto"/>
        <w:rPr>
          <w:rFonts w:ascii="Arial" w:hAnsi="Arial" w:cs="Arial"/>
        </w:rPr>
      </w:pPr>
    </w:p>
    <w:p w:rsidR="003A00AF" w:rsidRPr="001467D1" w:rsidRDefault="001467D1" w:rsidP="00A86347">
      <w:pPr>
        <w:spacing w:after="0" w:line="360" w:lineRule="auto"/>
        <w:rPr>
          <w:rFonts w:ascii="Arial" w:hAnsi="Arial" w:cs="Arial"/>
          <w:b/>
        </w:rPr>
      </w:pPr>
      <w:r w:rsidRPr="001467D1">
        <w:rPr>
          <w:rFonts w:ascii="Arial" w:hAnsi="Arial" w:cs="Arial"/>
          <w:b/>
        </w:rPr>
        <w:t xml:space="preserve">REFERENCES  </w:t>
      </w:r>
      <w:r>
        <w:rPr>
          <w:rFonts w:ascii="Arial" w:hAnsi="Arial" w:cs="Arial"/>
          <w:b/>
        </w:rPr>
        <w:t xml:space="preserve">- </w:t>
      </w:r>
      <w:r w:rsidRPr="001467D1">
        <w:rPr>
          <w:rFonts w:ascii="Arial" w:hAnsi="Arial" w:cs="Arial"/>
          <w:b/>
        </w:rPr>
        <w:t xml:space="preserve"> SUPPLEMENTS 2-11</w:t>
      </w:r>
    </w:p>
    <w:p w:rsidR="00A7130E" w:rsidRPr="00A7130E" w:rsidRDefault="00CB168C" w:rsidP="00A7130E">
      <w:pPr>
        <w:spacing w:line="240" w:lineRule="auto"/>
        <w:ind w:left="720" w:hanging="720"/>
        <w:rPr>
          <w:rFonts w:ascii="Calibri" w:hAnsi="Calibri" w:cs="Arial"/>
          <w:noProof/>
        </w:rPr>
      </w:pPr>
      <w:r>
        <w:rPr>
          <w:rFonts w:ascii="Arial" w:hAnsi="Arial" w:cs="Arial"/>
        </w:rPr>
        <w:fldChar w:fldCharType="begin"/>
      </w:r>
      <w:r w:rsidR="003A00AF">
        <w:rPr>
          <w:rFonts w:ascii="Arial" w:hAnsi="Arial" w:cs="Arial"/>
        </w:rPr>
        <w:instrText xml:space="preserve"> ADDIN EN.REFLIST </w:instrText>
      </w:r>
      <w:r>
        <w:rPr>
          <w:rFonts w:ascii="Arial" w:hAnsi="Arial" w:cs="Arial"/>
        </w:rPr>
        <w:fldChar w:fldCharType="separate"/>
      </w:r>
      <w:bookmarkStart w:id="1" w:name="_ENREF_1"/>
      <w:r w:rsidR="00A7130E" w:rsidRPr="00A7130E">
        <w:rPr>
          <w:rFonts w:ascii="Calibri" w:hAnsi="Calibri" w:cs="Arial"/>
          <w:noProof/>
        </w:rPr>
        <w:t>1.</w:t>
      </w:r>
      <w:r w:rsidR="00A7130E" w:rsidRPr="00A7130E">
        <w:rPr>
          <w:rFonts w:ascii="Calibri" w:hAnsi="Calibri" w:cs="Arial"/>
          <w:noProof/>
        </w:rPr>
        <w:tab/>
        <w:t xml:space="preserve">Cornell RC, Stoughton RB. Correlation of the vasoconstriction assay and clinical activity in psoriasis. </w:t>
      </w:r>
      <w:r w:rsidR="00A7130E" w:rsidRPr="00A7130E">
        <w:rPr>
          <w:rFonts w:ascii="Calibri" w:hAnsi="Calibri" w:cs="Arial"/>
          <w:i/>
          <w:noProof/>
        </w:rPr>
        <w:t xml:space="preserve">Archives of dermatology </w:t>
      </w:r>
      <w:r w:rsidR="00A7130E" w:rsidRPr="00A7130E">
        <w:rPr>
          <w:rFonts w:ascii="Calibri" w:hAnsi="Calibri" w:cs="Arial"/>
          <w:noProof/>
        </w:rPr>
        <w:t xml:space="preserve">1985; </w:t>
      </w:r>
      <w:r w:rsidR="00A7130E" w:rsidRPr="00A7130E">
        <w:rPr>
          <w:rFonts w:ascii="Calibri" w:hAnsi="Calibri" w:cs="Arial"/>
          <w:b/>
          <w:noProof/>
        </w:rPr>
        <w:t>121</w:t>
      </w:r>
      <w:r w:rsidR="00A7130E" w:rsidRPr="00A7130E">
        <w:rPr>
          <w:rFonts w:ascii="Calibri" w:hAnsi="Calibri" w:cs="Arial"/>
          <w:noProof/>
        </w:rPr>
        <w:t>(1)</w:t>
      </w:r>
      <w:r w:rsidR="00A7130E" w:rsidRPr="00A7130E">
        <w:rPr>
          <w:rFonts w:ascii="Calibri" w:hAnsi="Calibri" w:cs="Arial"/>
          <w:b/>
          <w:noProof/>
        </w:rPr>
        <w:t xml:space="preserve">: </w:t>
      </w:r>
      <w:r w:rsidR="00A7130E" w:rsidRPr="00A7130E">
        <w:rPr>
          <w:rFonts w:ascii="Calibri" w:hAnsi="Calibri" w:cs="Arial"/>
          <w:noProof/>
        </w:rPr>
        <w:t>63-7.</w:t>
      </w:r>
    </w:p>
    <w:bookmarkEnd w:id="1"/>
    <w:p w:rsidR="00A7130E" w:rsidRPr="00A7130E" w:rsidRDefault="00A7130E" w:rsidP="00A7130E">
      <w:pPr>
        <w:spacing w:after="0" w:line="240" w:lineRule="auto"/>
        <w:rPr>
          <w:rFonts w:ascii="Calibri" w:hAnsi="Calibri" w:cs="Arial"/>
          <w:noProof/>
        </w:rPr>
      </w:pPr>
    </w:p>
    <w:p w:rsidR="00A7130E" w:rsidRPr="00A7130E" w:rsidRDefault="00A7130E" w:rsidP="00A7130E">
      <w:pPr>
        <w:spacing w:line="240" w:lineRule="auto"/>
        <w:ind w:left="720" w:hanging="720"/>
        <w:rPr>
          <w:rFonts w:ascii="Calibri" w:hAnsi="Calibri" w:cs="Arial"/>
          <w:noProof/>
        </w:rPr>
      </w:pPr>
      <w:bookmarkStart w:id="2" w:name="_ENREF_2"/>
      <w:r w:rsidRPr="00A7130E">
        <w:rPr>
          <w:rFonts w:ascii="Calibri" w:hAnsi="Calibri" w:cs="Arial"/>
          <w:noProof/>
        </w:rPr>
        <w:t>2.</w:t>
      </w:r>
      <w:r w:rsidRPr="00A7130E">
        <w:rPr>
          <w:rFonts w:ascii="Calibri" w:hAnsi="Calibri" w:cs="Arial"/>
          <w:noProof/>
        </w:rPr>
        <w:tab/>
        <w:t>Spinelli S, Chiodi S, Costantini S, Van Lint MT, Raiola AM, Ravera GB</w:t>
      </w:r>
      <w:r w:rsidRPr="00A7130E">
        <w:rPr>
          <w:rFonts w:ascii="Calibri" w:hAnsi="Calibri" w:cs="Arial"/>
          <w:i/>
          <w:noProof/>
        </w:rPr>
        <w:t xml:space="preserve"> et al.</w:t>
      </w:r>
      <w:r w:rsidRPr="00A7130E">
        <w:rPr>
          <w:rFonts w:ascii="Calibri" w:hAnsi="Calibri" w:cs="Arial"/>
          <w:noProof/>
        </w:rPr>
        <w:t xml:space="preserve"> Female genital tract graft-versus-host disease following allogeneic bone marrow transplantation. </w:t>
      </w:r>
      <w:r w:rsidRPr="00A7130E">
        <w:rPr>
          <w:rFonts w:ascii="Calibri" w:hAnsi="Calibri" w:cs="Arial"/>
          <w:i/>
          <w:noProof/>
        </w:rPr>
        <w:t xml:space="preserve">Haematologica </w:t>
      </w:r>
      <w:r w:rsidRPr="00A7130E">
        <w:rPr>
          <w:rFonts w:ascii="Calibri" w:hAnsi="Calibri" w:cs="Arial"/>
          <w:noProof/>
        </w:rPr>
        <w:t xml:space="preserve">2003; </w:t>
      </w:r>
      <w:r w:rsidRPr="00A7130E">
        <w:rPr>
          <w:rFonts w:ascii="Calibri" w:hAnsi="Calibri" w:cs="Arial"/>
          <w:b/>
          <w:noProof/>
        </w:rPr>
        <w:t>88</w:t>
      </w:r>
      <w:r w:rsidRPr="00A7130E">
        <w:rPr>
          <w:rFonts w:ascii="Calibri" w:hAnsi="Calibri" w:cs="Arial"/>
          <w:noProof/>
        </w:rPr>
        <w:t>(10)</w:t>
      </w:r>
      <w:r w:rsidRPr="00A7130E">
        <w:rPr>
          <w:rFonts w:ascii="Calibri" w:hAnsi="Calibri" w:cs="Arial"/>
          <w:b/>
          <w:noProof/>
        </w:rPr>
        <w:t xml:space="preserve">: </w:t>
      </w:r>
      <w:r w:rsidRPr="00A7130E">
        <w:rPr>
          <w:rFonts w:ascii="Calibri" w:hAnsi="Calibri" w:cs="Arial"/>
          <w:noProof/>
        </w:rPr>
        <w:t>1163-8.</w:t>
      </w:r>
    </w:p>
    <w:bookmarkEnd w:id="2"/>
    <w:p w:rsidR="00A7130E" w:rsidRPr="00A7130E" w:rsidRDefault="00A7130E" w:rsidP="00A7130E">
      <w:pPr>
        <w:spacing w:after="0" w:line="240" w:lineRule="auto"/>
        <w:rPr>
          <w:rFonts w:ascii="Calibri" w:hAnsi="Calibri" w:cs="Arial"/>
          <w:noProof/>
        </w:rPr>
      </w:pPr>
    </w:p>
    <w:p w:rsidR="00A7130E" w:rsidRPr="00A7130E" w:rsidRDefault="00A7130E" w:rsidP="00A7130E">
      <w:pPr>
        <w:spacing w:line="240" w:lineRule="auto"/>
        <w:ind w:left="720" w:hanging="720"/>
        <w:rPr>
          <w:rFonts w:ascii="Calibri" w:hAnsi="Calibri" w:cs="Arial"/>
          <w:noProof/>
        </w:rPr>
      </w:pPr>
      <w:bookmarkStart w:id="3" w:name="_ENREF_3"/>
      <w:r w:rsidRPr="00A7130E">
        <w:rPr>
          <w:rFonts w:ascii="Calibri" w:hAnsi="Calibri" w:cs="Arial"/>
          <w:noProof/>
        </w:rPr>
        <w:t>3.</w:t>
      </w:r>
      <w:r w:rsidRPr="00A7130E">
        <w:rPr>
          <w:rFonts w:ascii="Calibri" w:hAnsi="Calibri" w:cs="Arial"/>
          <w:noProof/>
        </w:rPr>
        <w:tab/>
        <w:t>Hirsch P, Leclerc M, Rybojad M, Petropoulou AD, Robin M, Ribaud P</w:t>
      </w:r>
      <w:r w:rsidRPr="00A7130E">
        <w:rPr>
          <w:rFonts w:ascii="Calibri" w:hAnsi="Calibri" w:cs="Arial"/>
          <w:i/>
          <w:noProof/>
        </w:rPr>
        <w:t xml:space="preserve"> et al.</w:t>
      </w:r>
      <w:r w:rsidRPr="00A7130E">
        <w:rPr>
          <w:rFonts w:ascii="Calibri" w:hAnsi="Calibri" w:cs="Arial"/>
          <w:noProof/>
        </w:rPr>
        <w:t xml:space="preserve"> Female genital chronic graft-versus-host disease: importance of early diagnosis to avoid severe complications. </w:t>
      </w:r>
      <w:r w:rsidRPr="00A7130E">
        <w:rPr>
          <w:rFonts w:ascii="Calibri" w:hAnsi="Calibri" w:cs="Arial"/>
          <w:i/>
          <w:noProof/>
        </w:rPr>
        <w:t xml:space="preserve">Transplantation </w:t>
      </w:r>
      <w:r w:rsidRPr="00A7130E">
        <w:rPr>
          <w:rFonts w:ascii="Calibri" w:hAnsi="Calibri" w:cs="Arial"/>
          <w:noProof/>
        </w:rPr>
        <w:t xml:space="preserve">2012; </w:t>
      </w:r>
      <w:r w:rsidRPr="00A7130E">
        <w:rPr>
          <w:rFonts w:ascii="Calibri" w:hAnsi="Calibri" w:cs="Arial"/>
          <w:b/>
          <w:noProof/>
        </w:rPr>
        <w:t>93</w:t>
      </w:r>
      <w:r w:rsidRPr="00A7130E">
        <w:rPr>
          <w:rFonts w:ascii="Calibri" w:hAnsi="Calibri" w:cs="Arial"/>
          <w:noProof/>
        </w:rPr>
        <w:t>(12)</w:t>
      </w:r>
      <w:r w:rsidRPr="00A7130E">
        <w:rPr>
          <w:rFonts w:ascii="Calibri" w:hAnsi="Calibri" w:cs="Arial"/>
          <w:b/>
          <w:noProof/>
        </w:rPr>
        <w:t xml:space="preserve">: </w:t>
      </w:r>
      <w:r w:rsidRPr="00A7130E">
        <w:rPr>
          <w:rFonts w:ascii="Calibri" w:hAnsi="Calibri" w:cs="Arial"/>
          <w:noProof/>
        </w:rPr>
        <w:t>1265-9.</w:t>
      </w:r>
    </w:p>
    <w:bookmarkEnd w:id="3"/>
    <w:p w:rsidR="00A7130E" w:rsidRPr="00A7130E" w:rsidRDefault="00A7130E" w:rsidP="00A7130E">
      <w:pPr>
        <w:spacing w:after="0" w:line="240" w:lineRule="auto"/>
        <w:rPr>
          <w:rFonts w:ascii="Calibri" w:hAnsi="Calibri" w:cs="Arial"/>
          <w:noProof/>
        </w:rPr>
      </w:pPr>
    </w:p>
    <w:p w:rsidR="00A7130E" w:rsidRPr="00A7130E" w:rsidRDefault="00A7130E" w:rsidP="00A7130E">
      <w:pPr>
        <w:spacing w:line="240" w:lineRule="auto"/>
        <w:ind w:left="720" w:hanging="720"/>
        <w:rPr>
          <w:rFonts w:ascii="Calibri" w:hAnsi="Calibri" w:cs="Arial"/>
          <w:noProof/>
        </w:rPr>
      </w:pPr>
      <w:bookmarkStart w:id="4" w:name="_ENREF_4"/>
      <w:r w:rsidRPr="00A7130E">
        <w:rPr>
          <w:rFonts w:ascii="Calibri" w:hAnsi="Calibri" w:cs="Arial"/>
          <w:noProof/>
        </w:rPr>
        <w:t>4.</w:t>
      </w:r>
      <w:r w:rsidRPr="00A7130E">
        <w:rPr>
          <w:rFonts w:ascii="Calibri" w:hAnsi="Calibri" w:cs="Arial"/>
          <w:noProof/>
        </w:rPr>
        <w:tab/>
        <w:t xml:space="preserve">Zantomio D, Grigg AP, MacGregor L, Panek-Hudson Y, Szer J, Ayton R. Female genital tract graft-versus-host disease: incidence, risk factors and recommendations for management. </w:t>
      </w:r>
      <w:r w:rsidRPr="00A7130E">
        <w:rPr>
          <w:rFonts w:ascii="Calibri" w:hAnsi="Calibri" w:cs="Arial"/>
          <w:i/>
          <w:noProof/>
        </w:rPr>
        <w:t xml:space="preserve">Bone marrow transplantation </w:t>
      </w:r>
      <w:r w:rsidRPr="00A7130E">
        <w:rPr>
          <w:rFonts w:ascii="Calibri" w:hAnsi="Calibri" w:cs="Arial"/>
          <w:noProof/>
        </w:rPr>
        <w:t xml:space="preserve">2006; </w:t>
      </w:r>
      <w:r w:rsidRPr="00A7130E">
        <w:rPr>
          <w:rFonts w:ascii="Calibri" w:hAnsi="Calibri" w:cs="Arial"/>
          <w:b/>
          <w:noProof/>
        </w:rPr>
        <w:t>38</w:t>
      </w:r>
      <w:r w:rsidRPr="00A7130E">
        <w:rPr>
          <w:rFonts w:ascii="Calibri" w:hAnsi="Calibri" w:cs="Arial"/>
          <w:noProof/>
        </w:rPr>
        <w:t>(8)</w:t>
      </w:r>
      <w:r w:rsidRPr="00A7130E">
        <w:rPr>
          <w:rFonts w:ascii="Calibri" w:hAnsi="Calibri" w:cs="Arial"/>
          <w:b/>
          <w:noProof/>
        </w:rPr>
        <w:t xml:space="preserve">: </w:t>
      </w:r>
      <w:r w:rsidRPr="00A7130E">
        <w:rPr>
          <w:rFonts w:ascii="Calibri" w:hAnsi="Calibri" w:cs="Arial"/>
          <w:noProof/>
        </w:rPr>
        <w:t>567-72.</w:t>
      </w:r>
    </w:p>
    <w:bookmarkEnd w:id="4"/>
    <w:p w:rsidR="00A7130E" w:rsidRPr="00A7130E" w:rsidRDefault="00A7130E" w:rsidP="00A7130E">
      <w:pPr>
        <w:spacing w:after="0" w:line="240" w:lineRule="auto"/>
        <w:rPr>
          <w:rFonts w:ascii="Calibri" w:hAnsi="Calibri" w:cs="Arial"/>
          <w:noProof/>
        </w:rPr>
      </w:pPr>
    </w:p>
    <w:p w:rsidR="00A7130E" w:rsidRPr="00A7130E" w:rsidRDefault="00A7130E" w:rsidP="00A7130E">
      <w:pPr>
        <w:spacing w:line="240" w:lineRule="auto"/>
        <w:ind w:left="720" w:hanging="720"/>
        <w:rPr>
          <w:rFonts w:ascii="Calibri" w:hAnsi="Calibri" w:cs="Arial"/>
          <w:noProof/>
        </w:rPr>
      </w:pPr>
      <w:bookmarkStart w:id="5" w:name="_ENREF_5"/>
      <w:r w:rsidRPr="00A7130E">
        <w:rPr>
          <w:rFonts w:ascii="Calibri" w:hAnsi="Calibri" w:cs="Arial"/>
          <w:noProof/>
        </w:rPr>
        <w:t>5.</w:t>
      </w:r>
      <w:r w:rsidRPr="00A7130E">
        <w:rPr>
          <w:rFonts w:ascii="Calibri" w:hAnsi="Calibri" w:cs="Arial"/>
          <w:noProof/>
        </w:rPr>
        <w:tab/>
        <w:t xml:space="preserve">Clouse RE. Antidepressants for irritable bowel syndrome. </w:t>
      </w:r>
      <w:r w:rsidRPr="00A7130E">
        <w:rPr>
          <w:rFonts w:ascii="Calibri" w:hAnsi="Calibri" w:cs="Arial"/>
          <w:i/>
          <w:noProof/>
        </w:rPr>
        <w:t xml:space="preserve">Gut </w:t>
      </w:r>
      <w:r w:rsidRPr="00A7130E">
        <w:rPr>
          <w:rFonts w:ascii="Calibri" w:hAnsi="Calibri" w:cs="Arial"/>
          <w:noProof/>
        </w:rPr>
        <w:t xml:space="preserve">2003; </w:t>
      </w:r>
      <w:r w:rsidRPr="00A7130E">
        <w:rPr>
          <w:rFonts w:ascii="Calibri" w:hAnsi="Calibri" w:cs="Arial"/>
          <w:b/>
          <w:noProof/>
        </w:rPr>
        <w:t>52</w:t>
      </w:r>
      <w:r w:rsidRPr="00A7130E">
        <w:rPr>
          <w:rFonts w:ascii="Calibri" w:hAnsi="Calibri" w:cs="Arial"/>
          <w:noProof/>
        </w:rPr>
        <w:t>(4)</w:t>
      </w:r>
      <w:r w:rsidRPr="00A7130E">
        <w:rPr>
          <w:rFonts w:ascii="Calibri" w:hAnsi="Calibri" w:cs="Arial"/>
          <w:b/>
          <w:noProof/>
        </w:rPr>
        <w:t xml:space="preserve">: </w:t>
      </w:r>
      <w:r w:rsidRPr="00A7130E">
        <w:rPr>
          <w:rFonts w:ascii="Calibri" w:hAnsi="Calibri" w:cs="Arial"/>
          <w:noProof/>
        </w:rPr>
        <w:t>598-9.</w:t>
      </w:r>
    </w:p>
    <w:bookmarkEnd w:id="5"/>
    <w:p w:rsidR="00A7130E" w:rsidRPr="00A7130E" w:rsidRDefault="00A7130E" w:rsidP="00A7130E">
      <w:pPr>
        <w:spacing w:after="0" w:line="240" w:lineRule="auto"/>
        <w:rPr>
          <w:rFonts w:ascii="Calibri" w:hAnsi="Calibri" w:cs="Arial"/>
          <w:noProof/>
        </w:rPr>
      </w:pPr>
    </w:p>
    <w:p w:rsidR="00A7130E" w:rsidRPr="00A7130E" w:rsidRDefault="00A7130E" w:rsidP="00A7130E">
      <w:pPr>
        <w:spacing w:line="240" w:lineRule="auto"/>
        <w:ind w:left="720" w:hanging="720"/>
        <w:rPr>
          <w:rFonts w:ascii="Calibri" w:hAnsi="Calibri" w:cs="Arial"/>
          <w:noProof/>
        </w:rPr>
      </w:pPr>
      <w:bookmarkStart w:id="6" w:name="_ENREF_6"/>
      <w:r w:rsidRPr="00A7130E">
        <w:rPr>
          <w:rFonts w:ascii="Calibri" w:hAnsi="Calibri" w:cs="Arial"/>
          <w:noProof/>
        </w:rPr>
        <w:t>6.</w:t>
      </w:r>
      <w:r w:rsidRPr="00A7130E">
        <w:rPr>
          <w:rFonts w:ascii="Calibri" w:hAnsi="Calibri" w:cs="Arial"/>
          <w:noProof/>
        </w:rPr>
        <w:tab/>
        <w:t>Norman BC, Jacobsohn DA, Williams KM, Au BK, Au MA, Lee SJ</w:t>
      </w:r>
      <w:r w:rsidRPr="00A7130E">
        <w:rPr>
          <w:rFonts w:ascii="Calibri" w:hAnsi="Calibri" w:cs="Arial"/>
          <w:i/>
          <w:noProof/>
        </w:rPr>
        <w:t xml:space="preserve"> et al.</w:t>
      </w:r>
      <w:r w:rsidRPr="00A7130E">
        <w:rPr>
          <w:rFonts w:ascii="Calibri" w:hAnsi="Calibri" w:cs="Arial"/>
          <w:noProof/>
        </w:rPr>
        <w:t xml:space="preserve"> Fluticasone, azithromycin and montelukast therapy in reducing corticosteroid exposure in bronchiolitis obliterans syndrome after allogeneic hematopoietic SCT: a case series of eight patients. </w:t>
      </w:r>
      <w:r w:rsidRPr="00A7130E">
        <w:rPr>
          <w:rFonts w:ascii="Calibri" w:hAnsi="Calibri" w:cs="Arial"/>
          <w:i/>
          <w:noProof/>
        </w:rPr>
        <w:t xml:space="preserve">Bone marrow transplantation </w:t>
      </w:r>
      <w:r w:rsidRPr="00A7130E">
        <w:rPr>
          <w:rFonts w:ascii="Calibri" w:hAnsi="Calibri" w:cs="Arial"/>
          <w:noProof/>
        </w:rPr>
        <w:t xml:space="preserve">2011; </w:t>
      </w:r>
      <w:r w:rsidRPr="00A7130E">
        <w:rPr>
          <w:rFonts w:ascii="Calibri" w:hAnsi="Calibri" w:cs="Arial"/>
          <w:b/>
          <w:noProof/>
        </w:rPr>
        <w:t>46</w:t>
      </w:r>
      <w:r w:rsidRPr="00A7130E">
        <w:rPr>
          <w:rFonts w:ascii="Calibri" w:hAnsi="Calibri" w:cs="Arial"/>
          <w:noProof/>
        </w:rPr>
        <w:t>(10)</w:t>
      </w:r>
      <w:r w:rsidRPr="00A7130E">
        <w:rPr>
          <w:rFonts w:ascii="Calibri" w:hAnsi="Calibri" w:cs="Arial"/>
          <w:b/>
          <w:noProof/>
        </w:rPr>
        <w:t xml:space="preserve">: </w:t>
      </w:r>
      <w:r w:rsidRPr="00A7130E">
        <w:rPr>
          <w:rFonts w:ascii="Calibri" w:hAnsi="Calibri" w:cs="Arial"/>
          <w:noProof/>
        </w:rPr>
        <w:t>1369-73.</w:t>
      </w:r>
    </w:p>
    <w:bookmarkEnd w:id="6"/>
    <w:p w:rsidR="00A7130E" w:rsidRPr="00A7130E" w:rsidRDefault="00A7130E" w:rsidP="00A7130E">
      <w:pPr>
        <w:spacing w:after="0" w:line="240" w:lineRule="auto"/>
        <w:rPr>
          <w:rFonts w:ascii="Calibri" w:hAnsi="Calibri" w:cs="Arial"/>
          <w:noProof/>
        </w:rPr>
      </w:pPr>
    </w:p>
    <w:p w:rsidR="00A7130E" w:rsidRPr="00A7130E" w:rsidRDefault="00A7130E" w:rsidP="00A7130E">
      <w:pPr>
        <w:spacing w:line="240" w:lineRule="auto"/>
        <w:ind w:left="720" w:hanging="720"/>
        <w:rPr>
          <w:rFonts w:ascii="Calibri" w:hAnsi="Calibri" w:cs="Arial"/>
          <w:noProof/>
        </w:rPr>
      </w:pPr>
      <w:bookmarkStart w:id="7" w:name="_ENREF_7"/>
      <w:r w:rsidRPr="00A7130E">
        <w:rPr>
          <w:rFonts w:ascii="Calibri" w:hAnsi="Calibri" w:cs="Arial"/>
          <w:noProof/>
        </w:rPr>
        <w:t>7.</w:t>
      </w:r>
      <w:r w:rsidRPr="00A7130E">
        <w:rPr>
          <w:rFonts w:ascii="Calibri" w:hAnsi="Calibri" w:cs="Arial"/>
          <w:noProof/>
        </w:rPr>
        <w:tab/>
        <w:t>Mann D, Liu J, Chew ML, Bockbrader H, Alvey CW, Zegarac E</w:t>
      </w:r>
      <w:r w:rsidRPr="00A7130E">
        <w:rPr>
          <w:rFonts w:ascii="Calibri" w:hAnsi="Calibri" w:cs="Arial"/>
          <w:i/>
          <w:noProof/>
        </w:rPr>
        <w:t xml:space="preserve"> et al.</w:t>
      </w:r>
      <w:r w:rsidRPr="00A7130E">
        <w:rPr>
          <w:rFonts w:ascii="Calibri" w:hAnsi="Calibri" w:cs="Arial"/>
          <w:noProof/>
        </w:rPr>
        <w:t xml:space="preserve"> Safety, tolerability, and pharmacokinetics of pregabalin in children with refractory partial seizures: a phase 1, randomized controlled study. </w:t>
      </w:r>
      <w:r w:rsidRPr="00A7130E">
        <w:rPr>
          <w:rFonts w:ascii="Calibri" w:hAnsi="Calibri" w:cs="Arial"/>
          <w:i/>
          <w:noProof/>
        </w:rPr>
        <w:t xml:space="preserve">Epilepsia </w:t>
      </w:r>
      <w:r w:rsidRPr="00A7130E">
        <w:rPr>
          <w:rFonts w:ascii="Calibri" w:hAnsi="Calibri" w:cs="Arial"/>
          <w:noProof/>
        </w:rPr>
        <w:t xml:space="preserve">2014; </w:t>
      </w:r>
      <w:r w:rsidRPr="00A7130E">
        <w:rPr>
          <w:rFonts w:ascii="Calibri" w:hAnsi="Calibri" w:cs="Arial"/>
          <w:b/>
          <w:noProof/>
        </w:rPr>
        <w:t>55</w:t>
      </w:r>
      <w:r w:rsidRPr="00A7130E">
        <w:rPr>
          <w:rFonts w:ascii="Calibri" w:hAnsi="Calibri" w:cs="Arial"/>
          <w:noProof/>
        </w:rPr>
        <w:t>(12)</w:t>
      </w:r>
      <w:r w:rsidRPr="00A7130E">
        <w:rPr>
          <w:rFonts w:ascii="Calibri" w:hAnsi="Calibri" w:cs="Arial"/>
          <w:b/>
          <w:noProof/>
        </w:rPr>
        <w:t xml:space="preserve">: </w:t>
      </w:r>
      <w:r w:rsidRPr="00A7130E">
        <w:rPr>
          <w:rFonts w:ascii="Calibri" w:hAnsi="Calibri" w:cs="Arial"/>
          <w:noProof/>
        </w:rPr>
        <w:t>1934-43.</w:t>
      </w:r>
    </w:p>
    <w:bookmarkEnd w:id="7"/>
    <w:p w:rsidR="00A7130E" w:rsidRPr="00A7130E" w:rsidRDefault="00A7130E" w:rsidP="00A7130E">
      <w:pPr>
        <w:spacing w:after="0" w:line="240" w:lineRule="auto"/>
        <w:rPr>
          <w:rFonts w:ascii="Calibri" w:hAnsi="Calibri" w:cs="Arial"/>
          <w:noProof/>
        </w:rPr>
      </w:pPr>
    </w:p>
    <w:p w:rsidR="00A7130E" w:rsidRPr="00A7130E" w:rsidRDefault="00A7130E" w:rsidP="00A7130E">
      <w:pPr>
        <w:spacing w:line="240" w:lineRule="auto"/>
        <w:ind w:left="720" w:hanging="720"/>
        <w:rPr>
          <w:rFonts w:ascii="Calibri" w:hAnsi="Calibri" w:cs="Arial"/>
          <w:noProof/>
        </w:rPr>
      </w:pPr>
      <w:bookmarkStart w:id="8" w:name="_ENREF_8"/>
      <w:r w:rsidRPr="00A7130E">
        <w:rPr>
          <w:rFonts w:ascii="Calibri" w:hAnsi="Calibri" w:cs="Arial"/>
          <w:noProof/>
        </w:rPr>
        <w:t>8.</w:t>
      </w:r>
      <w:r w:rsidRPr="00A7130E">
        <w:rPr>
          <w:rFonts w:ascii="Calibri" w:hAnsi="Calibri" w:cs="Arial"/>
          <w:noProof/>
        </w:rPr>
        <w:tab/>
        <w:t>Doring M, Eikemeier M, Cabanillas Stanchi KM, Hartmann U, Ebinger M, Schwarze CP</w:t>
      </w:r>
      <w:r w:rsidRPr="00A7130E">
        <w:rPr>
          <w:rFonts w:ascii="Calibri" w:hAnsi="Calibri" w:cs="Arial"/>
          <w:i/>
          <w:noProof/>
        </w:rPr>
        <w:t xml:space="preserve"> et al.</w:t>
      </w:r>
      <w:r w:rsidRPr="00A7130E">
        <w:rPr>
          <w:rFonts w:ascii="Calibri" w:hAnsi="Calibri" w:cs="Arial"/>
          <w:noProof/>
        </w:rPr>
        <w:t xml:space="preserve"> Antifungal prophylaxis with posaconazole vs. fluconazole or itraconazole in pediatric patients with neutropenia. </w:t>
      </w:r>
      <w:r w:rsidRPr="00A7130E">
        <w:rPr>
          <w:rFonts w:ascii="Calibri" w:hAnsi="Calibri" w:cs="Arial"/>
          <w:i/>
          <w:noProof/>
        </w:rPr>
        <w:t xml:space="preserve">European journal of clinical microbiology &amp; infectious diseases : official publication of the European Society of Clinical Microbiology </w:t>
      </w:r>
      <w:r w:rsidRPr="00A7130E">
        <w:rPr>
          <w:rFonts w:ascii="Calibri" w:hAnsi="Calibri" w:cs="Arial"/>
          <w:noProof/>
        </w:rPr>
        <w:t>2015.</w:t>
      </w:r>
    </w:p>
    <w:bookmarkEnd w:id="8"/>
    <w:p w:rsidR="00A7130E" w:rsidRPr="00A7130E" w:rsidRDefault="00A7130E" w:rsidP="00A7130E">
      <w:pPr>
        <w:spacing w:after="0" w:line="240" w:lineRule="auto"/>
        <w:rPr>
          <w:rFonts w:ascii="Calibri" w:hAnsi="Calibri" w:cs="Arial"/>
          <w:noProof/>
        </w:rPr>
      </w:pPr>
    </w:p>
    <w:p w:rsidR="00A7130E" w:rsidRPr="00A7130E" w:rsidRDefault="00A7130E" w:rsidP="00A7130E">
      <w:pPr>
        <w:spacing w:line="240" w:lineRule="auto"/>
        <w:ind w:left="720" w:hanging="720"/>
        <w:rPr>
          <w:rFonts w:ascii="Calibri" w:hAnsi="Calibri" w:cs="Arial"/>
          <w:noProof/>
        </w:rPr>
      </w:pPr>
      <w:bookmarkStart w:id="9" w:name="_ENREF_9"/>
      <w:r w:rsidRPr="00A7130E">
        <w:rPr>
          <w:rFonts w:ascii="Calibri" w:hAnsi="Calibri" w:cs="Arial"/>
          <w:noProof/>
        </w:rPr>
        <w:t>9.</w:t>
      </w:r>
      <w:r w:rsidRPr="00A7130E">
        <w:rPr>
          <w:rFonts w:ascii="Calibri" w:hAnsi="Calibri" w:cs="Arial"/>
          <w:noProof/>
        </w:rPr>
        <w:tab/>
        <w:t>Doring M, Blume O, Haufe S, Hartmann U, Kimmig A, Schwarze CP</w:t>
      </w:r>
      <w:r w:rsidRPr="00A7130E">
        <w:rPr>
          <w:rFonts w:ascii="Calibri" w:hAnsi="Calibri" w:cs="Arial"/>
          <w:i/>
          <w:noProof/>
        </w:rPr>
        <w:t xml:space="preserve"> et al.</w:t>
      </w:r>
      <w:r w:rsidRPr="00A7130E">
        <w:rPr>
          <w:rFonts w:ascii="Calibri" w:hAnsi="Calibri" w:cs="Arial"/>
          <w:noProof/>
        </w:rPr>
        <w:t xml:space="preserve"> Comparison of itraconazole, voriconazole, and posaconazole as oral antifungal prophylaxis in pediatric patients following allogeneic hematopoietic stem cell transplantation. </w:t>
      </w:r>
      <w:r w:rsidRPr="00A7130E">
        <w:rPr>
          <w:rFonts w:ascii="Calibri" w:hAnsi="Calibri" w:cs="Arial"/>
          <w:i/>
          <w:noProof/>
        </w:rPr>
        <w:t xml:space="preserve">European journal of clinical microbiology &amp; infectious diseases : official publication of the European Society of Clinical Microbiology </w:t>
      </w:r>
      <w:r w:rsidRPr="00A7130E">
        <w:rPr>
          <w:rFonts w:ascii="Calibri" w:hAnsi="Calibri" w:cs="Arial"/>
          <w:noProof/>
        </w:rPr>
        <w:t xml:space="preserve">2014; </w:t>
      </w:r>
      <w:r w:rsidRPr="00A7130E">
        <w:rPr>
          <w:rFonts w:ascii="Calibri" w:hAnsi="Calibri" w:cs="Arial"/>
          <w:b/>
          <w:noProof/>
        </w:rPr>
        <w:t>33</w:t>
      </w:r>
      <w:r w:rsidRPr="00A7130E">
        <w:rPr>
          <w:rFonts w:ascii="Calibri" w:hAnsi="Calibri" w:cs="Arial"/>
          <w:noProof/>
        </w:rPr>
        <w:t>(4)</w:t>
      </w:r>
      <w:r w:rsidRPr="00A7130E">
        <w:rPr>
          <w:rFonts w:ascii="Calibri" w:hAnsi="Calibri" w:cs="Arial"/>
          <w:b/>
          <w:noProof/>
        </w:rPr>
        <w:t xml:space="preserve">: </w:t>
      </w:r>
      <w:r w:rsidRPr="00A7130E">
        <w:rPr>
          <w:rFonts w:ascii="Calibri" w:hAnsi="Calibri" w:cs="Arial"/>
          <w:noProof/>
        </w:rPr>
        <w:t>629-38.</w:t>
      </w:r>
    </w:p>
    <w:bookmarkEnd w:id="9"/>
    <w:p w:rsidR="00A7130E" w:rsidRPr="00A7130E" w:rsidRDefault="00A7130E" w:rsidP="00A7130E">
      <w:pPr>
        <w:spacing w:after="0" w:line="240" w:lineRule="auto"/>
        <w:rPr>
          <w:rFonts w:ascii="Calibri" w:hAnsi="Calibri" w:cs="Arial"/>
          <w:noProof/>
        </w:rPr>
      </w:pPr>
    </w:p>
    <w:p w:rsidR="00A7130E" w:rsidRPr="00A7130E" w:rsidRDefault="00A7130E" w:rsidP="00A7130E">
      <w:pPr>
        <w:spacing w:line="240" w:lineRule="auto"/>
        <w:ind w:left="720" w:hanging="720"/>
        <w:rPr>
          <w:rFonts w:ascii="Calibri" w:hAnsi="Calibri" w:cs="Arial"/>
          <w:noProof/>
        </w:rPr>
      </w:pPr>
      <w:bookmarkStart w:id="10" w:name="_ENREF_10"/>
      <w:r w:rsidRPr="00A7130E">
        <w:rPr>
          <w:rFonts w:ascii="Calibri" w:hAnsi="Calibri" w:cs="Arial"/>
          <w:noProof/>
        </w:rPr>
        <w:t>10.</w:t>
      </w:r>
      <w:r w:rsidRPr="00A7130E">
        <w:rPr>
          <w:rFonts w:ascii="Calibri" w:hAnsi="Calibri" w:cs="Arial"/>
          <w:noProof/>
        </w:rPr>
        <w:tab/>
        <w:t>Welzen ME, Bruggemann RJ, Van Den Berg JM, Voogt HW, Gilissen JH, Pajkrt D</w:t>
      </w:r>
      <w:r w:rsidRPr="00A7130E">
        <w:rPr>
          <w:rFonts w:ascii="Calibri" w:hAnsi="Calibri" w:cs="Arial"/>
          <w:i/>
          <w:noProof/>
        </w:rPr>
        <w:t xml:space="preserve"> et al.</w:t>
      </w:r>
      <w:r w:rsidRPr="00A7130E">
        <w:rPr>
          <w:rFonts w:ascii="Calibri" w:hAnsi="Calibri" w:cs="Arial"/>
          <w:noProof/>
        </w:rPr>
        <w:t xml:space="preserve"> A twice daily posaconazole dosing algorithm for children with chronic granulomatous disease. </w:t>
      </w:r>
      <w:r w:rsidRPr="00A7130E">
        <w:rPr>
          <w:rFonts w:ascii="Calibri" w:hAnsi="Calibri" w:cs="Arial"/>
          <w:i/>
          <w:noProof/>
        </w:rPr>
        <w:t xml:space="preserve">The Pediatric infectious disease journal </w:t>
      </w:r>
      <w:r w:rsidRPr="00A7130E">
        <w:rPr>
          <w:rFonts w:ascii="Calibri" w:hAnsi="Calibri" w:cs="Arial"/>
          <w:noProof/>
        </w:rPr>
        <w:t xml:space="preserve">2011; </w:t>
      </w:r>
      <w:r w:rsidRPr="00A7130E">
        <w:rPr>
          <w:rFonts w:ascii="Calibri" w:hAnsi="Calibri" w:cs="Arial"/>
          <w:b/>
          <w:noProof/>
        </w:rPr>
        <w:t>30</w:t>
      </w:r>
      <w:r w:rsidRPr="00A7130E">
        <w:rPr>
          <w:rFonts w:ascii="Calibri" w:hAnsi="Calibri" w:cs="Arial"/>
          <w:noProof/>
        </w:rPr>
        <w:t>(9)</w:t>
      </w:r>
      <w:r w:rsidRPr="00A7130E">
        <w:rPr>
          <w:rFonts w:ascii="Calibri" w:hAnsi="Calibri" w:cs="Arial"/>
          <w:b/>
          <w:noProof/>
        </w:rPr>
        <w:t xml:space="preserve">: </w:t>
      </w:r>
      <w:r w:rsidRPr="00A7130E">
        <w:rPr>
          <w:rFonts w:ascii="Calibri" w:hAnsi="Calibri" w:cs="Arial"/>
          <w:noProof/>
        </w:rPr>
        <w:t>794-7.</w:t>
      </w:r>
    </w:p>
    <w:bookmarkEnd w:id="10"/>
    <w:p w:rsidR="00A7130E" w:rsidRPr="00A7130E" w:rsidRDefault="00A7130E" w:rsidP="00A7130E">
      <w:pPr>
        <w:spacing w:line="240" w:lineRule="auto"/>
        <w:rPr>
          <w:rFonts w:ascii="Calibri" w:hAnsi="Calibri" w:cs="Arial"/>
          <w:noProof/>
        </w:rPr>
      </w:pPr>
    </w:p>
    <w:p w:rsidR="00A7130E" w:rsidRDefault="00A7130E" w:rsidP="00A7130E">
      <w:pPr>
        <w:spacing w:line="240" w:lineRule="auto"/>
        <w:rPr>
          <w:rFonts w:ascii="Calibri" w:hAnsi="Calibri" w:cs="Arial"/>
          <w:noProof/>
        </w:rPr>
      </w:pPr>
    </w:p>
    <w:p w:rsidR="00DE6BD3" w:rsidRPr="00A86347" w:rsidRDefault="00CB168C" w:rsidP="00A86347">
      <w:pPr>
        <w:spacing w:after="0" w:line="360" w:lineRule="auto"/>
        <w:rPr>
          <w:rFonts w:ascii="Arial" w:hAnsi="Arial" w:cs="Arial"/>
        </w:rPr>
      </w:pPr>
      <w:r>
        <w:rPr>
          <w:rFonts w:ascii="Arial" w:hAnsi="Arial" w:cs="Arial"/>
        </w:rPr>
        <w:fldChar w:fldCharType="end"/>
      </w:r>
    </w:p>
    <w:sectPr w:rsidR="00DE6BD3" w:rsidRPr="00A86347" w:rsidSect="00251C2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C12" w:rsidRDefault="00BB1C12" w:rsidP="00FF2E60">
      <w:pPr>
        <w:spacing w:after="0" w:line="240" w:lineRule="auto"/>
      </w:pPr>
      <w:r>
        <w:separator/>
      </w:r>
    </w:p>
  </w:endnote>
  <w:endnote w:type="continuationSeparator" w:id="0">
    <w:p w:rsidR="00BB1C12" w:rsidRDefault="00BB1C12" w:rsidP="00FF2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JansonText-Roman">
    <w:altName w:val="Cambria"/>
    <w:panose1 w:val="00000000000000000000"/>
    <w:charset w:val="00"/>
    <w:family w:val="auto"/>
    <w:notTrueType/>
    <w:pitch w:val="default"/>
    <w:sig w:usb0="00000003" w:usb1="00000000" w:usb2="00000000" w:usb3="00000000" w:csb0="00000001" w:csb1="00000000"/>
  </w:font>
  <w:font w:name="AdvTimes">
    <w:altName w:val="Cambria"/>
    <w:panose1 w:val="00000000000000000000"/>
    <w:charset w:val="00"/>
    <w:family w:val="auto"/>
    <w:notTrueType/>
    <w:pitch w:val="default"/>
    <w:sig w:usb0="00000003" w:usb1="00000000" w:usb2="00000000" w:usb3="00000000" w:csb0="00000001" w:csb1="00000000"/>
  </w:font>
  <w:font w:name="AdvPS4731B1">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921818"/>
      <w:docPartObj>
        <w:docPartGallery w:val="Page Numbers (Bottom of Page)"/>
        <w:docPartUnique/>
      </w:docPartObj>
    </w:sdtPr>
    <w:sdtEndPr>
      <w:rPr>
        <w:noProof/>
      </w:rPr>
    </w:sdtEndPr>
    <w:sdtContent>
      <w:p w:rsidR="009B5300" w:rsidRDefault="00D253F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9B5300" w:rsidRDefault="009B53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C12" w:rsidRDefault="00BB1C12" w:rsidP="00FF2E60">
      <w:pPr>
        <w:spacing w:after="0" w:line="240" w:lineRule="auto"/>
      </w:pPr>
      <w:r>
        <w:separator/>
      </w:r>
    </w:p>
  </w:footnote>
  <w:footnote w:type="continuationSeparator" w:id="0">
    <w:p w:rsidR="00BB1C12" w:rsidRDefault="00BB1C12" w:rsidP="00FF2E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5184E88"/>
    <w:lvl w:ilvl="0">
      <w:numFmt w:val="bullet"/>
      <w:lvlText w:val="*"/>
      <w:lvlJc w:val="left"/>
    </w:lvl>
  </w:abstractNum>
  <w:abstractNum w:abstractNumId="1">
    <w:nsid w:val="054E4276"/>
    <w:multiLevelType w:val="hybridMultilevel"/>
    <w:tmpl w:val="FDA8A0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055694"/>
    <w:multiLevelType w:val="hybridMultilevel"/>
    <w:tmpl w:val="A40A9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044530"/>
    <w:multiLevelType w:val="hybridMultilevel"/>
    <w:tmpl w:val="234A3088"/>
    <w:lvl w:ilvl="0" w:tplc="3A1E15FC">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4F6B23"/>
    <w:multiLevelType w:val="multilevel"/>
    <w:tmpl w:val="F28C9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587B32"/>
    <w:multiLevelType w:val="hybridMultilevel"/>
    <w:tmpl w:val="FD6EEB88"/>
    <w:lvl w:ilvl="0" w:tplc="3A1E15FC">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243F33"/>
    <w:multiLevelType w:val="hybridMultilevel"/>
    <w:tmpl w:val="9270783C"/>
    <w:lvl w:ilvl="0" w:tplc="3A1E15FC">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9C462B"/>
    <w:multiLevelType w:val="hybridMultilevel"/>
    <w:tmpl w:val="4984C504"/>
    <w:lvl w:ilvl="0" w:tplc="3A1E15FC">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C8013E"/>
    <w:multiLevelType w:val="hybridMultilevel"/>
    <w:tmpl w:val="945E4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9C0288"/>
    <w:multiLevelType w:val="hybridMultilevel"/>
    <w:tmpl w:val="6FBAC486"/>
    <w:lvl w:ilvl="0" w:tplc="C9AC69F6">
      <w:start w:val="11"/>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851092A"/>
    <w:multiLevelType w:val="hybridMultilevel"/>
    <w:tmpl w:val="5E5420B8"/>
    <w:lvl w:ilvl="0" w:tplc="3A1E15FC">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D31F51"/>
    <w:multiLevelType w:val="hybridMultilevel"/>
    <w:tmpl w:val="546C4E52"/>
    <w:lvl w:ilvl="0" w:tplc="3A1E15FC">
      <w:start w:val="1"/>
      <w:numFmt w:val="lowerLetter"/>
      <w:lvlText w:val="%1."/>
      <w:lvlJc w:val="left"/>
      <w:pPr>
        <w:ind w:left="108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2401E60"/>
    <w:multiLevelType w:val="hybridMultilevel"/>
    <w:tmpl w:val="F516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0D525E"/>
    <w:multiLevelType w:val="hybridMultilevel"/>
    <w:tmpl w:val="45F2B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104C10"/>
    <w:multiLevelType w:val="hybridMultilevel"/>
    <w:tmpl w:val="98824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F14502"/>
    <w:multiLevelType w:val="hybridMultilevel"/>
    <w:tmpl w:val="5CDA8DE2"/>
    <w:lvl w:ilvl="0" w:tplc="FE801450">
      <w:start w:val="1"/>
      <w:numFmt w:val="decimal"/>
      <w:lvlText w:val="%1."/>
      <w:lvlJc w:val="left"/>
      <w:pPr>
        <w:ind w:left="360" w:hanging="360"/>
      </w:pPr>
      <w:rPr>
        <w:rFonts w:hint="default"/>
      </w:rPr>
    </w:lvl>
    <w:lvl w:ilvl="1" w:tplc="3A1E15FC">
      <w:start w:val="1"/>
      <w:numFmt w:val="lowerLetter"/>
      <w:lvlText w:val="%2."/>
      <w:lvlJc w:val="left"/>
      <w:pPr>
        <w:ind w:left="1080" w:hanging="360"/>
      </w:pPr>
      <w:rPr>
        <w:rFonts w:hint="default"/>
        <w:b w:val="0"/>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D386C08"/>
    <w:multiLevelType w:val="hybridMultilevel"/>
    <w:tmpl w:val="7D56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10012E"/>
    <w:multiLevelType w:val="hybridMultilevel"/>
    <w:tmpl w:val="D076F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nsid w:val="6B696225"/>
    <w:multiLevelType w:val="hybridMultilevel"/>
    <w:tmpl w:val="C4F6929E"/>
    <w:lvl w:ilvl="0" w:tplc="3A1E15FC">
      <w:start w:val="1"/>
      <w:numFmt w:val="lowerLetter"/>
      <w:lvlText w:val="%1."/>
      <w:lvlJc w:val="left"/>
      <w:pPr>
        <w:ind w:left="108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3402906"/>
    <w:multiLevelType w:val="hybridMultilevel"/>
    <w:tmpl w:val="23E8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F36600"/>
    <w:multiLevelType w:val="hybridMultilevel"/>
    <w:tmpl w:val="A0821D50"/>
    <w:lvl w:ilvl="0" w:tplc="FE80145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C576BD5"/>
    <w:multiLevelType w:val="hybridMultilevel"/>
    <w:tmpl w:val="11262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9F4A8F"/>
    <w:multiLevelType w:val="hybridMultilevel"/>
    <w:tmpl w:val="0B900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D317CC"/>
    <w:multiLevelType w:val="hybridMultilevel"/>
    <w:tmpl w:val="2F80A224"/>
    <w:lvl w:ilvl="0" w:tplc="3A1E15FC">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4"/>
  </w:num>
  <w:num w:numId="3">
    <w:abstractNumId w:val="19"/>
  </w:num>
  <w:num w:numId="4">
    <w:abstractNumId w:val="13"/>
  </w:num>
  <w:num w:numId="5">
    <w:abstractNumId w:val="16"/>
  </w:num>
  <w:num w:numId="6">
    <w:abstractNumId w:val="8"/>
  </w:num>
  <w:num w:numId="7">
    <w:abstractNumId w:val="2"/>
  </w:num>
  <w:num w:numId="8">
    <w:abstractNumId w:val="1"/>
  </w:num>
  <w:num w:numId="9">
    <w:abstractNumId w:val="21"/>
  </w:num>
  <w:num w:numId="10">
    <w:abstractNumId w:val="4"/>
  </w:num>
  <w:num w:numId="11">
    <w:abstractNumId w:val="0"/>
    <w:lvlOverride w:ilvl="0">
      <w:lvl w:ilvl="0">
        <w:numFmt w:val="bullet"/>
        <w:lvlText w:val=""/>
        <w:legacy w:legacy="1" w:legacySpace="0" w:legacyIndent="360"/>
        <w:lvlJc w:val="left"/>
        <w:pPr>
          <w:ind w:left="720" w:hanging="360"/>
        </w:pPr>
        <w:rPr>
          <w:rFonts w:ascii="Symbol" w:hAnsi="Symbol" w:hint="default"/>
        </w:rPr>
      </w:lvl>
    </w:lvlOverride>
  </w:num>
  <w:num w:numId="12">
    <w:abstractNumId w:val="12"/>
  </w:num>
  <w:num w:numId="13">
    <w:abstractNumId w:val="20"/>
  </w:num>
  <w:num w:numId="14">
    <w:abstractNumId w:val="18"/>
  </w:num>
  <w:num w:numId="15">
    <w:abstractNumId w:val="15"/>
  </w:num>
  <w:num w:numId="16">
    <w:abstractNumId w:val="23"/>
  </w:num>
  <w:num w:numId="17">
    <w:abstractNumId w:val="3"/>
  </w:num>
  <w:num w:numId="18">
    <w:abstractNumId w:val="5"/>
  </w:num>
  <w:num w:numId="19">
    <w:abstractNumId w:val="11"/>
  </w:num>
  <w:num w:numId="20">
    <w:abstractNumId w:val="7"/>
  </w:num>
  <w:num w:numId="21">
    <w:abstractNumId w:val="6"/>
  </w:num>
  <w:num w:numId="22">
    <w:abstractNumId w:val="10"/>
  </w:num>
  <w:num w:numId="23">
    <w:abstractNumId w:val="1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one Marrow Transplan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02952tzotxvtbetvxf5e9aifef5p5wrwrp2&quot;&gt;My EndNote Library&lt;record-ids&gt;&lt;item&gt;325&lt;/item&gt;&lt;item&gt;326&lt;/item&gt;&lt;item&gt;327&lt;/item&gt;&lt;item&gt;348&lt;/item&gt;&lt;item&gt;349&lt;/item&gt;&lt;item&gt;351&lt;/item&gt;&lt;item&gt;421&lt;/item&gt;&lt;item&gt;422&lt;/item&gt;&lt;item&gt;423&lt;/item&gt;&lt;item&gt;432&lt;/item&gt;&lt;/record-ids&gt;&lt;/item&gt;&lt;/Libraries&gt;"/>
  </w:docVars>
  <w:rsids>
    <w:rsidRoot w:val="00017CA9"/>
    <w:rsid w:val="000053BA"/>
    <w:rsid w:val="00017CA9"/>
    <w:rsid w:val="000322EC"/>
    <w:rsid w:val="000340AB"/>
    <w:rsid w:val="00035945"/>
    <w:rsid w:val="00036EBF"/>
    <w:rsid w:val="00072A7E"/>
    <w:rsid w:val="000947DD"/>
    <w:rsid w:val="000B2DE8"/>
    <w:rsid w:val="000C38E0"/>
    <w:rsid w:val="000E2325"/>
    <w:rsid w:val="000E2965"/>
    <w:rsid w:val="001145E7"/>
    <w:rsid w:val="001467D1"/>
    <w:rsid w:val="001A2A50"/>
    <w:rsid w:val="001A57C7"/>
    <w:rsid w:val="001B323C"/>
    <w:rsid w:val="001D67EC"/>
    <w:rsid w:val="001E6573"/>
    <w:rsid w:val="00242B5A"/>
    <w:rsid w:val="00251C2A"/>
    <w:rsid w:val="00253DB3"/>
    <w:rsid w:val="002610AA"/>
    <w:rsid w:val="00277E32"/>
    <w:rsid w:val="00296D69"/>
    <w:rsid w:val="002C0B1C"/>
    <w:rsid w:val="002C44D3"/>
    <w:rsid w:val="002E1F76"/>
    <w:rsid w:val="00302AFF"/>
    <w:rsid w:val="0030501C"/>
    <w:rsid w:val="003848EE"/>
    <w:rsid w:val="003A00AF"/>
    <w:rsid w:val="003A06AC"/>
    <w:rsid w:val="003B0071"/>
    <w:rsid w:val="003B71DA"/>
    <w:rsid w:val="003D5A8A"/>
    <w:rsid w:val="003E30D3"/>
    <w:rsid w:val="003E49D4"/>
    <w:rsid w:val="00461F72"/>
    <w:rsid w:val="00466A75"/>
    <w:rsid w:val="00467578"/>
    <w:rsid w:val="004704E4"/>
    <w:rsid w:val="004B47FC"/>
    <w:rsid w:val="004C6725"/>
    <w:rsid w:val="004C67BC"/>
    <w:rsid w:val="004D2E12"/>
    <w:rsid w:val="00551BBC"/>
    <w:rsid w:val="005537B5"/>
    <w:rsid w:val="00572377"/>
    <w:rsid w:val="00582D9E"/>
    <w:rsid w:val="0058479E"/>
    <w:rsid w:val="005B3927"/>
    <w:rsid w:val="00613701"/>
    <w:rsid w:val="006245AB"/>
    <w:rsid w:val="00631C56"/>
    <w:rsid w:val="006339E1"/>
    <w:rsid w:val="00643369"/>
    <w:rsid w:val="007202DE"/>
    <w:rsid w:val="00731536"/>
    <w:rsid w:val="00737293"/>
    <w:rsid w:val="007537B2"/>
    <w:rsid w:val="007555EF"/>
    <w:rsid w:val="00783DCD"/>
    <w:rsid w:val="007D07B6"/>
    <w:rsid w:val="007E1281"/>
    <w:rsid w:val="008149EE"/>
    <w:rsid w:val="00846E1F"/>
    <w:rsid w:val="008924CC"/>
    <w:rsid w:val="008A402B"/>
    <w:rsid w:val="009421F8"/>
    <w:rsid w:val="009611A3"/>
    <w:rsid w:val="00977515"/>
    <w:rsid w:val="00977976"/>
    <w:rsid w:val="009A69A6"/>
    <w:rsid w:val="009B5300"/>
    <w:rsid w:val="009F062A"/>
    <w:rsid w:val="00A2209D"/>
    <w:rsid w:val="00A420A6"/>
    <w:rsid w:val="00A7130E"/>
    <w:rsid w:val="00A856D7"/>
    <w:rsid w:val="00A86347"/>
    <w:rsid w:val="00B4494C"/>
    <w:rsid w:val="00B54BCE"/>
    <w:rsid w:val="00BA7C65"/>
    <w:rsid w:val="00BB1C12"/>
    <w:rsid w:val="00BB47CC"/>
    <w:rsid w:val="00BC1083"/>
    <w:rsid w:val="00BD0664"/>
    <w:rsid w:val="00C06D2D"/>
    <w:rsid w:val="00C16D78"/>
    <w:rsid w:val="00C32197"/>
    <w:rsid w:val="00C4643A"/>
    <w:rsid w:val="00C64B23"/>
    <w:rsid w:val="00C767F5"/>
    <w:rsid w:val="00C912D4"/>
    <w:rsid w:val="00CB168C"/>
    <w:rsid w:val="00CC7873"/>
    <w:rsid w:val="00D02DD3"/>
    <w:rsid w:val="00D05C91"/>
    <w:rsid w:val="00D23F20"/>
    <w:rsid w:val="00D253F5"/>
    <w:rsid w:val="00D344E8"/>
    <w:rsid w:val="00D34FC4"/>
    <w:rsid w:val="00D47E6F"/>
    <w:rsid w:val="00D74875"/>
    <w:rsid w:val="00DC3118"/>
    <w:rsid w:val="00DE6BD3"/>
    <w:rsid w:val="00E0305C"/>
    <w:rsid w:val="00E56F58"/>
    <w:rsid w:val="00E76082"/>
    <w:rsid w:val="00EC0A7C"/>
    <w:rsid w:val="00EC31E2"/>
    <w:rsid w:val="00EC75FF"/>
    <w:rsid w:val="00ED190B"/>
    <w:rsid w:val="00ED53A4"/>
    <w:rsid w:val="00EE5AB7"/>
    <w:rsid w:val="00EF0506"/>
    <w:rsid w:val="00EF21C4"/>
    <w:rsid w:val="00F21F00"/>
    <w:rsid w:val="00F960DE"/>
    <w:rsid w:val="00FF2E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7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7E32"/>
    <w:pPr>
      <w:ind w:left="720"/>
      <w:contextualSpacing/>
    </w:pPr>
  </w:style>
  <w:style w:type="character" w:styleId="CommentReference">
    <w:name w:val="annotation reference"/>
    <w:basedOn w:val="DefaultParagraphFont"/>
    <w:uiPriority w:val="99"/>
    <w:semiHidden/>
    <w:unhideWhenUsed/>
    <w:rsid w:val="000340AB"/>
    <w:rPr>
      <w:sz w:val="16"/>
      <w:szCs w:val="16"/>
    </w:rPr>
  </w:style>
  <w:style w:type="paragraph" w:styleId="CommentText">
    <w:name w:val="annotation text"/>
    <w:basedOn w:val="Normal"/>
    <w:link w:val="CommentTextChar"/>
    <w:uiPriority w:val="99"/>
    <w:unhideWhenUsed/>
    <w:rsid w:val="000340AB"/>
    <w:pPr>
      <w:spacing w:line="240" w:lineRule="auto"/>
    </w:pPr>
    <w:rPr>
      <w:sz w:val="20"/>
      <w:szCs w:val="20"/>
    </w:rPr>
  </w:style>
  <w:style w:type="character" w:customStyle="1" w:styleId="CommentTextChar">
    <w:name w:val="Comment Text Char"/>
    <w:basedOn w:val="DefaultParagraphFont"/>
    <w:link w:val="CommentText"/>
    <w:uiPriority w:val="99"/>
    <w:rsid w:val="000340AB"/>
    <w:rPr>
      <w:sz w:val="20"/>
      <w:szCs w:val="20"/>
    </w:rPr>
  </w:style>
  <w:style w:type="paragraph" w:styleId="CommentSubject">
    <w:name w:val="annotation subject"/>
    <w:basedOn w:val="CommentText"/>
    <w:next w:val="CommentText"/>
    <w:link w:val="CommentSubjectChar"/>
    <w:uiPriority w:val="99"/>
    <w:semiHidden/>
    <w:unhideWhenUsed/>
    <w:rsid w:val="000340AB"/>
    <w:rPr>
      <w:b/>
      <w:bCs/>
    </w:rPr>
  </w:style>
  <w:style w:type="character" w:customStyle="1" w:styleId="CommentSubjectChar">
    <w:name w:val="Comment Subject Char"/>
    <w:basedOn w:val="CommentTextChar"/>
    <w:link w:val="CommentSubject"/>
    <w:uiPriority w:val="99"/>
    <w:semiHidden/>
    <w:rsid w:val="000340AB"/>
    <w:rPr>
      <w:b/>
      <w:bCs/>
      <w:sz w:val="20"/>
      <w:szCs w:val="20"/>
    </w:rPr>
  </w:style>
  <w:style w:type="paragraph" w:styleId="BalloonText">
    <w:name w:val="Balloon Text"/>
    <w:basedOn w:val="Normal"/>
    <w:link w:val="BalloonTextChar"/>
    <w:uiPriority w:val="99"/>
    <w:semiHidden/>
    <w:unhideWhenUsed/>
    <w:rsid w:val="000340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0AB"/>
    <w:rPr>
      <w:rFonts w:ascii="Tahoma" w:hAnsi="Tahoma" w:cs="Tahoma"/>
      <w:sz w:val="16"/>
      <w:szCs w:val="16"/>
    </w:rPr>
  </w:style>
  <w:style w:type="paragraph" w:styleId="Header">
    <w:name w:val="header"/>
    <w:basedOn w:val="Normal"/>
    <w:link w:val="HeaderChar"/>
    <w:uiPriority w:val="99"/>
    <w:unhideWhenUsed/>
    <w:rsid w:val="00FF2E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E60"/>
  </w:style>
  <w:style w:type="paragraph" w:styleId="Footer">
    <w:name w:val="footer"/>
    <w:basedOn w:val="Normal"/>
    <w:link w:val="FooterChar"/>
    <w:uiPriority w:val="99"/>
    <w:unhideWhenUsed/>
    <w:rsid w:val="00FF2E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E60"/>
  </w:style>
  <w:style w:type="character" w:styleId="Hyperlink">
    <w:name w:val="Hyperlink"/>
    <w:basedOn w:val="DefaultParagraphFont"/>
    <w:uiPriority w:val="99"/>
    <w:unhideWhenUsed/>
    <w:rsid w:val="004B47FC"/>
    <w:rPr>
      <w:color w:val="0000FF" w:themeColor="hyperlink"/>
      <w:u w:val="single"/>
    </w:rPr>
  </w:style>
  <w:style w:type="paragraph" w:styleId="NoSpacing">
    <w:name w:val="No Spacing"/>
    <w:uiPriority w:val="1"/>
    <w:qFormat/>
    <w:rsid w:val="00BC1083"/>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7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7E32"/>
    <w:pPr>
      <w:ind w:left="720"/>
      <w:contextualSpacing/>
    </w:pPr>
  </w:style>
  <w:style w:type="character" w:styleId="CommentReference">
    <w:name w:val="annotation reference"/>
    <w:basedOn w:val="DefaultParagraphFont"/>
    <w:uiPriority w:val="99"/>
    <w:semiHidden/>
    <w:unhideWhenUsed/>
    <w:rsid w:val="000340AB"/>
    <w:rPr>
      <w:sz w:val="16"/>
      <w:szCs w:val="16"/>
    </w:rPr>
  </w:style>
  <w:style w:type="paragraph" w:styleId="CommentText">
    <w:name w:val="annotation text"/>
    <w:basedOn w:val="Normal"/>
    <w:link w:val="CommentTextChar"/>
    <w:uiPriority w:val="99"/>
    <w:unhideWhenUsed/>
    <w:rsid w:val="000340AB"/>
    <w:pPr>
      <w:spacing w:line="240" w:lineRule="auto"/>
    </w:pPr>
    <w:rPr>
      <w:sz w:val="20"/>
      <w:szCs w:val="20"/>
    </w:rPr>
  </w:style>
  <w:style w:type="character" w:customStyle="1" w:styleId="CommentTextChar">
    <w:name w:val="Comment Text Char"/>
    <w:basedOn w:val="DefaultParagraphFont"/>
    <w:link w:val="CommentText"/>
    <w:uiPriority w:val="99"/>
    <w:rsid w:val="000340AB"/>
    <w:rPr>
      <w:sz w:val="20"/>
      <w:szCs w:val="20"/>
    </w:rPr>
  </w:style>
  <w:style w:type="paragraph" w:styleId="CommentSubject">
    <w:name w:val="annotation subject"/>
    <w:basedOn w:val="CommentText"/>
    <w:next w:val="CommentText"/>
    <w:link w:val="CommentSubjectChar"/>
    <w:uiPriority w:val="99"/>
    <w:semiHidden/>
    <w:unhideWhenUsed/>
    <w:rsid w:val="000340AB"/>
    <w:rPr>
      <w:b/>
      <w:bCs/>
    </w:rPr>
  </w:style>
  <w:style w:type="character" w:customStyle="1" w:styleId="CommentSubjectChar">
    <w:name w:val="Comment Subject Char"/>
    <w:basedOn w:val="CommentTextChar"/>
    <w:link w:val="CommentSubject"/>
    <w:uiPriority w:val="99"/>
    <w:semiHidden/>
    <w:rsid w:val="000340AB"/>
    <w:rPr>
      <w:b/>
      <w:bCs/>
      <w:sz w:val="20"/>
      <w:szCs w:val="20"/>
    </w:rPr>
  </w:style>
  <w:style w:type="paragraph" w:styleId="BalloonText">
    <w:name w:val="Balloon Text"/>
    <w:basedOn w:val="Normal"/>
    <w:link w:val="BalloonTextChar"/>
    <w:uiPriority w:val="99"/>
    <w:semiHidden/>
    <w:unhideWhenUsed/>
    <w:rsid w:val="000340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0AB"/>
    <w:rPr>
      <w:rFonts w:ascii="Tahoma" w:hAnsi="Tahoma" w:cs="Tahoma"/>
      <w:sz w:val="16"/>
      <w:szCs w:val="16"/>
    </w:rPr>
  </w:style>
  <w:style w:type="paragraph" w:styleId="Header">
    <w:name w:val="header"/>
    <w:basedOn w:val="Normal"/>
    <w:link w:val="HeaderChar"/>
    <w:uiPriority w:val="99"/>
    <w:unhideWhenUsed/>
    <w:rsid w:val="00FF2E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E60"/>
  </w:style>
  <w:style w:type="paragraph" w:styleId="Footer">
    <w:name w:val="footer"/>
    <w:basedOn w:val="Normal"/>
    <w:link w:val="FooterChar"/>
    <w:uiPriority w:val="99"/>
    <w:unhideWhenUsed/>
    <w:rsid w:val="00FF2E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E60"/>
  </w:style>
  <w:style w:type="character" w:styleId="Hyperlink">
    <w:name w:val="Hyperlink"/>
    <w:basedOn w:val="DefaultParagraphFont"/>
    <w:uiPriority w:val="99"/>
    <w:unhideWhenUsed/>
    <w:rsid w:val="004B47FC"/>
    <w:rPr>
      <w:color w:val="0000FF" w:themeColor="hyperlink"/>
      <w:u w:val="single"/>
    </w:rPr>
  </w:style>
  <w:style w:type="paragraph" w:styleId="NoSpacing">
    <w:name w:val="No Spacing"/>
    <w:uiPriority w:val="1"/>
    <w:qFormat/>
    <w:rsid w:val="00BC108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5837">
      <w:bodyDiv w:val="1"/>
      <w:marLeft w:val="0"/>
      <w:marRight w:val="0"/>
      <w:marTop w:val="0"/>
      <w:marBottom w:val="0"/>
      <w:divBdr>
        <w:top w:val="none" w:sz="0" w:space="0" w:color="auto"/>
        <w:left w:val="none" w:sz="0" w:space="0" w:color="auto"/>
        <w:bottom w:val="none" w:sz="0" w:space="0" w:color="auto"/>
        <w:right w:val="none" w:sz="0" w:space="0" w:color="auto"/>
      </w:divBdr>
    </w:div>
    <w:div w:id="13116051">
      <w:bodyDiv w:val="1"/>
      <w:marLeft w:val="0"/>
      <w:marRight w:val="0"/>
      <w:marTop w:val="0"/>
      <w:marBottom w:val="0"/>
      <w:divBdr>
        <w:top w:val="none" w:sz="0" w:space="0" w:color="auto"/>
        <w:left w:val="none" w:sz="0" w:space="0" w:color="auto"/>
        <w:bottom w:val="none" w:sz="0" w:space="0" w:color="auto"/>
        <w:right w:val="none" w:sz="0" w:space="0" w:color="auto"/>
      </w:divBdr>
    </w:div>
    <w:div w:id="749888302">
      <w:bodyDiv w:val="1"/>
      <w:marLeft w:val="0"/>
      <w:marRight w:val="0"/>
      <w:marTop w:val="0"/>
      <w:marBottom w:val="0"/>
      <w:divBdr>
        <w:top w:val="none" w:sz="0" w:space="0" w:color="auto"/>
        <w:left w:val="none" w:sz="0" w:space="0" w:color="auto"/>
        <w:bottom w:val="none" w:sz="0" w:space="0" w:color="auto"/>
        <w:right w:val="none" w:sz="0" w:space="0" w:color="auto"/>
      </w:divBdr>
      <w:divsChild>
        <w:div w:id="445732256">
          <w:marLeft w:val="0"/>
          <w:marRight w:val="0"/>
          <w:marTop w:val="0"/>
          <w:marBottom w:val="0"/>
          <w:divBdr>
            <w:top w:val="none" w:sz="0" w:space="0" w:color="auto"/>
            <w:left w:val="none" w:sz="0" w:space="0" w:color="auto"/>
            <w:bottom w:val="none" w:sz="0" w:space="0" w:color="auto"/>
            <w:right w:val="none" w:sz="0" w:space="0" w:color="auto"/>
          </w:divBdr>
        </w:div>
        <w:div w:id="449670953">
          <w:marLeft w:val="0"/>
          <w:marRight w:val="0"/>
          <w:marTop w:val="0"/>
          <w:marBottom w:val="0"/>
          <w:divBdr>
            <w:top w:val="none" w:sz="0" w:space="0" w:color="auto"/>
            <w:left w:val="none" w:sz="0" w:space="0" w:color="auto"/>
            <w:bottom w:val="none" w:sz="0" w:space="0" w:color="auto"/>
            <w:right w:val="none" w:sz="0" w:space="0" w:color="auto"/>
          </w:divBdr>
        </w:div>
        <w:div w:id="465507754">
          <w:marLeft w:val="0"/>
          <w:marRight w:val="0"/>
          <w:marTop w:val="0"/>
          <w:marBottom w:val="0"/>
          <w:divBdr>
            <w:top w:val="none" w:sz="0" w:space="0" w:color="auto"/>
            <w:left w:val="none" w:sz="0" w:space="0" w:color="auto"/>
            <w:bottom w:val="none" w:sz="0" w:space="0" w:color="auto"/>
            <w:right w:val="none" w:sz="0" w:space="0" w:color="auto"/>
          </w:divBdr>
        </w:div>
        <w:div w:id="955595904">
          <w:marLeft w:val="0"/>
          <w:marRight w:val="0"/>
          <w:marTop w:val="0"/>
          <w:marBottom w:val="0"/>
          <w:divBdr>
            <w:top w:val="none" w:sz="0" w:space="0" w:color="auto"/>
            <w:left w:val="none" w:sz="0" w:space="0" w:color="auto"/>
            <w:bottom w:val="none" w:sz="0" w:space="0" w:color="auto"/>
            <w:right w:val="none" w:sz="0" w:space="0" w:color="auto"/>
          </w:divBdr>
        </w:div>
        <w:div w:id="1315641303">
          <w:marLeft w:val="0"/>
          <w:marRight w:val="0"/>
          <w:marTop w:val="0"/>
          <w:marBottom w:val="0"/>
          <w:divBdr>
            <w:top w:val="none" w:sz="0" w:space="0" w:color="auto"/>
            <w:left w:val="none" w:sz="0" w:space="0" w:color="auto"/>
            <w:bottom w:val="none" w:sz="0" w:space="0" w:color="auto"/>
            <w:right w:val="none" w:sz="0" w:space="0" w:color="auto"/>
          </w:divBdr>
        </w:div>
        <w:div w:id="20209615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ef.ac.uk/FRAX/tool.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kidscancer.uchicago.edu/sites/pedscancer.uchicago.edu/files/uploads/ALTE07C1DOC.pdf" TargetMode="External"/><Relationship Id="rId4" Type="http://schemas.openxmlformats.org/officeDocument/2006/relationships/settings" Target="settings.xml"/><Relationship Id="rId9" Type="http://schemas.openxmlformats.org/officeDocument/2006/relationships/hyperlink" Target="https://risk.calculator.fore.org/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6185</Words>
  <Characters>35261</Characters>
  <Application>Microsoft Office Word</Application>
  <DocSecurity>4</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41364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Kitko, Carrie</dc:creator>
  <cp:lastModifiedBy>Andrea King</cp:lastModifiedBy>
  <cp:revision>2</cp:revision>
  <cp:lastPrinted>2015-03-15T16:18:00Z</cp:lastPrinted>
  <dcterms:created xsi:type="dcterms:W3CDTF">2015-05-05T22:13:00Z</dcterms:created>
  <dcterms:modified xsi:type="dcterms:W3CDTF">2015-05-05T22:13:00Z</dcterms:modified>
</cp:coreProperties>
</file>